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E0218" w14:textId="77777777" w:rsidR="00F37EC1" w:rsidRDefault="00855964" w:rsidP="00855964">
      <w:pPr>
        <w:ind w:left="0"/>
      </w:pPr>
      <w:r>
        <w:t xml:space="preserve">The policy in </w:t>
      </w:r>
      <w:r w:rsidRPr="005D12B8">
        <w:rPr>
          <w:u w:val="single"/>
        </w:rPr>
        <w:t>Luther v. Borden</w:t>
      </w:r>
    </w:p>
    <w:p w14:paraId="38634163" w14:textId="77777777" w:rsidR="00855964" w:rsidRDefault="00855964" w:rsidP="00855964">
      <w:pPr>
        <w:ind w:left="0"/>
      </w:pPr>
    </w:p>
    <w:p w14:paraId="52D057BE" w14:textId="1FE5EA23" w:rsidR="00855964" w:rsidRDefault="00855964" w:rsidP="00855964">
      <w:pPr>
        <w:ind w:left="0"/>
      </w:pPr>
      <w:r>
        <w:t xml:space="preserve">I want to briefly note what policy is being upheld or stuck down in </w:t>
      </w:r>
      <w:r w:rsidRPr="005D12B8">
        <w:rPr>
          <w:u w:val="single"/>
        </w:rPr>
        <w:t>Luther v. Borden</w:t>
      </w:r>
      <w:r>
        <w:t xml:space="preserve"> because it bears some relationship to a couple of cases assigned for briefing.   I may not have covered it in enough depth in class</w:t>
      </w:r>
      <w:r>
        <w:br/>
      </w:r>
      <w:proofErr w:type="gramStart"/>
      <w:r w:rsidR="00921408">
        <w:t xml:space="preserve">The </w:t>
      </w:r>
      <w:r>
        <w:t xml:space="preserve"> case</w:t>
      </w:r>
      <w:proofErr w:type="gramEnd"/>
      <w:r>
        <w:t xml:space="preserve"> arises out of a personal skirmish between people supporting the charter government and the </w:t>
      </w:r>
      <w:proofErr w:type="spellStart"/>
      <w:r>
        <w:t>Doerr</w:t>
      </w:r>
      <w:proofErr w:type="spellEnd"/>
      <w:r>
        <w:t xml:space="preserve"> insurgent </w:t>
      </w:r>
      <w:r w:rsidR="00921408">
        <w:t>government.</w:t>
      </w:r>
      <w:r>
        <w:t xml:space="preserve">,  </w:t>
      </w:r>
      <w:r w:rsidR="00921408">
        <w:t xml:space="preserve">For </w:t>
      </w:r>
      <w:r>
        <w:t xml:space="preserve">relating the case through time to the present </w:t>
      </w:r>
      <w:r w:rsidR="005D12B8">
        <w:t xml:space="preserve"> the issue of </w:t>
      </w:r>
      <w:r>
        <w:t xml:space="preserve"> which government is the real one is not of much importance.</w:t>
      </w:r>
    </w:p>
    <w:p w14:paraId="1DC2F9A1" w14:textId="77777777" w:rsidR="00855964" w:rsidRDefault="00855964" w:rsidP="00855964">
      <w:pPr>
        <w:ind w:left="0"/>
      </w:pPr>
      <w:r>
        <w:t xml:space="preserve">  The real issue is whether there is a justiciable question, that is a question that </w:t>
      </w:r>
      <w:r w:rsidR="00361D0F">
        <w:t xml:space="preserve"> the Supreme Court thinks  </w:t>
      </w:r>
      <w:r w:rsidR="00C45478">
        <w:t xml:space="preserve">it </w:t>
      </w:r>
      <w:r>
        <w:t>can</w:t>
      </w:r>
      <w:r w:rsidR="00C45478">
        <w:t xml:space="preserve"> decide </w:t>
      </w:r>
      <w:r>
        <w:t xml:space="preserve"> </w:t>
      </w:r>
      <w:r w:rsidR="00361D0F">
        <w:t xml:space="preserve">or </w:t>
      </w:r>
      <w:r w:rsidR="00C45478">
        <w:t xml:space="preserve">it </w:t>
      </w:r>
      <w:r w:rsidR="00361D0F">
        <w:t xml:space="preserve">ought </w:t>
      </w:r>
      <w:r w:rsidR="00C45478">
        <w:t xml:space="preserve"> to decide.</w:t>
      </w:r>
      <w:r>
        <w:t>. The Court has a certain amount of discretion i</w:t>
      </w:r>
      <w:r w:rsidR="00361D0F">
        <w:t xml:space="preserve">n deciding or not deciding </w:t>
      </w:r>
      <w:r w:rsidR="00C45478">
        <w:t xml:space="preserve">case that are presented </w:t>
      </w:r>
      <w:r w:rsidR="00A22EA2">
        <w:t xml:space="preserve">to it. One aspect of that discretion is whether to use one of what is called its gate keeping powers.  </w:t>
      </w:r>
      <w:r>
        <w:t xml:space="preserve"> </w:t>
      </w:r>
      <w:r w:rsidR="00361D0F">
        <w:t xml:space="preserve"> </w:t>
      </w:r>
      <w:r>
        <w:t>Recall that under Article III, for the  Court to exercise  its judicial power, the Cou</w:t>
      </w:r>
      <w:r w:rsidR="00A22EA2">
        <w:t>rt  says it must be deciding a “</w:t>
      </w:r>
      <w:r>
        <w:t xml:space="preserve">case or controversy.”  The </w:t>
      </w:r>
      <w:r w:rsidR="00361D0F">
        <w:t xml:space="preserve"> main </w:t>
      </w:r>
      <w:r>
        <w:t>policy then</w:t>
      </w:r>
      <w:r w:rsidR="00361D0F">
        <w:t xml:space="preserve"> </w:t>
      </w:r>
      <w:r>
        <w:t xml:space="preserve"> is about the Supreme Court exercising</w:t>
      </w:r>
      <w:r w:rsidR="00361D0F">
        <w:t xml:space="preserve">  its </w:t>
      </w:r>
      <w:r>
        <w:t>judicial power in particular kinds of cas</w:t>
      </w:r>
      <w:r w:rsidR="00A22EA2">
        <w:t>es.  The Court has added that a</w:t>
      </w:r>
      <w:r w:rsidR="00C45478">
        <w:t xml:space="preserve"> case or controversy must be the kind of case or controversy it is suited to decide. Political questions are not of the nature. </w:t>
      </w:r>
    </w:p>
    <w:p w14:paraId="5BEF54A7" w14:textId="590770C7" w:rsidR="005D12B8" w:rsidRDefault="00361D0F" w:rsidP="005D12B8">
      <w:pPr>
        <w:ind w:left="0"/>
      </w:pPr>
      <w:r w:rsidRPr="005D12B8">
        <w:rPr>
          <w:u w:val="single"/>
        </w:rPr>
        <w:t xml:space="preserve">Luther </w:t>
      </w:r>
      <w:r>
        <w:t>then can be characterized as a case uphold</w:t>
      </w:r>
      <w:r w:rsidR="000A6916">
        <w:t xml:space="preserve">ing </w:t>
      </w:r>
      <w:r>
        <w:t xml:space="preserve"> the Court’s policy of not deciding a particular kind of case or controversy.  </w:t>
      </w:r>
      <w:r w:rsidR="000A6916">
        <w:t xml:space="preserve">The Court </w:t>
      </w:r>
      <w:r>
        <w:t xml:space="preserve"> does not  decide the case because it is a political question. Then part of </w:t>
      </w:r>
      <w:r w:rsidRPr="005D12B8">
        <w:rPr>
          <w:u w:val="single"/>
        </w:rPr>
        <w:t>Luther</w:t>
      </w:r>
      <w:r>
        <w:t xml:space="preserve"> is what is the political question the Court is not deciding.  </w:t>
      </w:r>
      <w:r w:rsidR="005D12B8">
        <w:t xml:space="preserve">Another way of stating this is that the Court is upholding its power to not decide a case based on the political question  doctrine.  And a political question the Court cannot decide is what the  Guaranty Clause, the guaranty of a Republican form of government,  means  in Article IV. The interpretation of that </w:t>
      </w:r>
      <w:r w:rsidR="00C45478">
        <w:t>clause is a political question</w:t>
      </w:r>
      <w:r w:rsidR="00A22EA2">
        <w:t xml:space="preserve"> according to a majority in </w:t>
      </w:r>
      <w:r w:rsidR="00A22EA2" w:rsidRPr="00A22EA2">
        <w:rPr>
          <w:u w:val="single"/>
        </w:rPr>
        <w:t>Luthe</w:t>
      </w:r>
      <w:r w:rsidR="00A22EA2">
        <w:t xml:space="preserve">r </w:t>
      </w:r>
      <w:r w:rsidR="00C45478">
        <w:t xml:space="preserve"> and the Court defers to the legislative and executive branches</w:t>
      </w:r>
      <w:r w:rsidR="00DB2EF7">
        <w:t xml:space="preserve"> for that interpretation.   The Court looks to see which government in Rhode Island is considered by that branch to be the lawful government. </w:t>
      </w:r>
      <w:r w:rsidR="00C45478">
        <w:t xml:space="preserve"> See the discussion about this aspect in </w:t>
      </w:r>
      <w:proofErr w:type="gramStart"/>
      <w:r w:rsidR="00C45478">
        <w:t xml:space="preserve">the </w:t>
      </w:r>
      <w:r w:rsidR="00C45478" w:rsidRPr="00C45478">
        <w:rPr>
          <w:u w:val="single"/>
        </w:rPr>
        <w:t>:Luther</w:t>
      </w:r>
      <w:proofErr w:type="gramEnd"/>
      <w:r w:rsidR="00C45478" w:rsidRPr="00C45478">
        <w:rPr>
          <w:u w:val="single"/>
        </w:rPr>
        <w:t xml:space="preserve"> </w:t>
      </w:r>
      <w:r w:rsidR="00C45478">
        <w:t>case.</w:t>
      </w:r>
    </w:p>
    <w:p w14:paraId="0D7E76CF" w14:textId="6BB473BE" w:rsidR="00921408" w:rsidRDefault="00921408" w:rsidP="005D12B8">
      <w:pPr>
        <w:ind w:left="0"/>
      </w:pPr>
      <w:r>
        <w:t>Reiterating the main “</w:t>
      </w:r>
      <w:proofErr w:type="spellStart"/>
      <w:r>
        <w:t>doorkeeping</w:t>
      </w:r>
      <w:proofErr w:type="spellEnd"/>
      <w:r>
        <w:t xml:space="preserve">” issue the Court can </w:t>
      </w:r>
      <w:proofErr w:type="spellStart"/>
      <w:r>
        <w:t>explicity</w:t>
      </w:r>
      <w:proofErr w:type="spellEnd"/>
      <w:r>
        <w:t xml:space="preserve"> use to not decide a case that comes before it:</w:t>
      </w:r>
    </w:p>
    <w:p w14:paraId="04C934C4" w14:textId="15253983" w:rsidR="00921408" w:rsidRDefault="00921408" w:rsidP="005D12B8">
      <w:pPr>
        <w:ind w:left="0"/>
      </w:pPr>
      <w:r>
        <w:tab/>
      </w:r>
      <w:r>
        <w:tab/>
        <w:t xml:space="preserve">A. </w:t>
      </w:r>
      <w:proofErr w:type="spellStart"/>
      <w:r>
        <w:t>Politiical</w:t>
      </w:r>
      <w:proofErr w:type="spellEnd"/>
      <w:r>
        <w:t xml:space="preserve"> question</w:t>
      </w:r>
    </w:p>
    <w:p w14:paraId="501C1F45" w14:textId="46996502" w:rsidR="00921408" w:rsidRDefault="00921408" w:rsidP="005D12B8">
      <w:pPr>
        <w:ind w:left="0"/>
      </w:pPr>
      <w:r>
        <w:tab/>
      </w:r>
      <w:r>
        <w:tab/>
        <w:t>B. Standing</w:t>
      </w:r>
    </w:p>
    <w:p w14:paraId="05C4E1AF" w14:textId="79E42C6F" w:rsidR="00921408" w:rsidRDefault="00921408" w:rsidP="005D12B8">
      <w:pPr>
        <w:ind w:left="0"/>
      </w:pPr>
      <w:r>
        <w:tab/>
      </w:r>
      <w:r>
        <w:tab/>
        <w:t>C. Mootness</w:t>
      </w:r>
    </w:p>
    <w:p w14:paraId="4189A1C0" w14:textId="73ED0945" w:rsidR="00921408" w:rsidRDefault="00921408" w:rsidP="005D12B8">
      <w:pPr>
        <w:ind w:left="0"/>
      </w:pPr>
      <w:r>
        <w:tab/>
      </w:r>
      <w:r>
        <w:tab/>
        <w:t xml:space="preserve">D. Ripeness </w:t>
      </w:r>
    </w:p>
    <w:p w14:paraId="3F1FF276" w14:textId="5F55AF95" w:rsidR="00921408" w:rsidRDefault="00921408" w:rsidP="005D12B8">
      <w:pPr>
        <w:ind w:left="0"/>
      </w:pPr>
      <w:r>
        <w:t xml:space="preserve">When the Court uses one of these issues, for our comparative analysis the Court is the policy maker in the case.  The question is then where the Court his upholding or striking down its policy to not take cases that have these </w:t>
      </w:r>
      <w:proofErr w:type="spellStart"/>
      <w:r>
        <w:t>doorkeeping</w:t>
      </w:r>
      <w:proofErr w:type="spellEnd"/>
      <w:r>
        <w:t xml:space="preserve"> issues.</w:t>
      </w:r>
    </w:p>
    <w:p w14:paraId="078F693B" w14:textId="7062DD2C" w:rsidR="000A6916" w:rsidRDefault="000A6916" w:rsidP="00855964">
      <w:pPr>
        <w:ind w:left="0"/>
      </w:pPr>
      <w:r>
        <w:t xml:space="preserve">While every case can be said to be about the Court’s policy about itself, such a position would not help us analyze the ebb and flow </w:t>
      </w:r>
      <w:proofErr w:type="gramStart"/>
      <w:r w:rsidR="00921408">
        <w:t>of  nearly</w:t>
      </w:r>
      <w:proofErr w:type="gramEnd"/>
      <w:r w:rsidR="00921408">
        <w:t xml:space="preserve"> all of its </w:t>
      </w:r>
      <w:r>
        <w:t xml:space="preserve">cases over time.   You could say </w:t>
      </w:r>
      <w:proofErr w:type="spellStart"/>
      <w:r w:rsidRPr="00A22EA2">
        <w:rPr>
          <w:u w:val="single"/>
        </w:rPr>
        <w:t>Miln</w:t>
      </w:r>
      <w:proofErr w:type="spellEnd"/>
      <w:r>
        <w:t xml:space="preserve"> is about the Court’s ability to  decide a case about  state economic power and the Court upholds its power to do.  But this is a big so what.  No one contested the Court’s power or inclination to decide </w:t>
      </w:r>
      <w:proofErr w:type="spellStart"/>
      <w:r w:rsidRPr="00A22EA2">
        <w:rPr>
          <w:u w:val="single"/>
        </w:rPr>
        <w:t>Miln</w:t>
      </w:r>
      <w:proofErr w:type="spellEnd"/>
      <w:r w:rsidRPr="00A22EA2">
        <w:rPr>
          <w:u w:val="single"/>
        </w:rPr>
        <w:t xml:space="preserve"> </w:t>
      </w:r>
      <w:r>
        <w:t xml:space="preserve">or at least in the Court opinion there is no evidence that issue was being decided or considered.  </w:t>
      </w:r>
      <w:r w:rsidR="005D12B8">
        <w:t xml:space="preserve"> In </w:t>
      </w:r>
      <w:r w:rsidR="005D12B8" w:rsidRPr="00A22EA2">
        <w:rPr>
          <w:u w:val="single"/>
        </w:rPr>
        <w:t>Luther</w:t>
      </w:r>
      <w:r w:rsidR="005D12B8">
        <w:t xml:space="preserve"> and other cases the issue of the Court’s power to decide the particular controversy is raised</w:t>
      </w:r>
      <w:r w:rsidR="00921408">
        <w:t xml:space="preserve"> usually by the party being sued</w:t>
      </w:r>
      <w:proofErr w:type="gramStart"/>
      <w:r w:rsidR="00921408">
        <w:t xml:space="preserve">. </w:t>
      </w:r>
      <w:r w:rsidR="005D12B8">
        <w:t>.</w:t>
      </w:r>
      <w:proofErr w:type="gramEnd"/>
      <w:r w:rsidR="005D12B8">
        <w:t xml:space="preserve">  (As noted back in the 2</w:t>
      </w:r>
      <w:r w:rsidR="005D12B8" w:rsidRPr="005D12B8">
        <w:rPr>
          <w:vertAlign w:val="superscript"/>
        </w:rPr>
        <w:t>nd</w:t>
      </w:r>
      <w:r w:rsidR="005D12B8">
        <w:t xml:space="preserve"> and 3</w:t>
      </w:r>
      <w:r w:rsidR="005D12B8" w:rsidRPr="005D12B8">
        <w:rPr>
          <w:vertAlign w:val="superscript"/>
        </w:rPr>
        <w:t>rd</w:t>
      </w:r>
      <w:r w:rsidR="005D12B8">
        <w:t xml:space="preserve"> classes, this was one valid  way to look at </w:t>
      </w:r>
      <w:r w:rsidR="005D12B8" w:rsidRPr="00A22EA2">
        <w:rPr>
          <w:u w:val="single"/>
        </w:rPr>
        <w:t>Marbury</w:t>
      </w:r>
      <w:r w:rsidR="005D12B8">
        <w:t xml:space="preserve">  and not the only valid or useful way).</w:t>
      </w:r>
    </w:p>
    <w:p w14:paraId="23C4B8C1" w14:textId="1F7EAB3A" w:rsidR="000A6916" w:rsidRDefault="00361D0F" w:rsidP="00855964">
      <w:pPr>
        <w:ind w:left="0"/>
      </w:pPr>
      <w:r>
        <w:t>As I have not</w:t>
      </w:r>
      <w:r w:rsidR="000A6916">
        <w:t xml:space="preserve">ed </w:t>
      </w:r>
      <w:r w:rsidR="00921408">
        <w:t xml:space="preserve">above, some of the reasons </w:t>
      </w:r>
      <w:r>
        <w:t xml:space="preserve">the Court gives for not exercising its judicial power include, </w:t>
      </w:r>
      <w:proofErr w:type="gramStart"/>
      <w:r>
        <w:t>mootness(</w:t>
      </w:r>
      <w:proofErr w:type="gramEnd"/>
      <w:r w:rsidR="000A6916">
        <w:t xml:space="preserve">is there still a  live dispute here), </w:t>
      </w:r>
      <w:r>
        <w:t>ripeness,(does this case give us the best set of facts or best situation to make a decision on this issue) and standing(</w:t>
      </w:r>
      <w:r w:rsidR="000A6916">
        <w:t>(does the complaining party have  a judicial re</w:t>
      </w:r>
      <w:r w:rsidR="003F361C">
        <w:t>c</w:t>
      </w:r>
      <w:r w:rsidR="00A22EA2">
        <w:t>ogniz</w:t>
      </w:r>
      <w:r w:rsidR="000A6916">
        <w:t>able injury of some kind or represent an injured party)</w:t>
      </w:r>
      <w:r w:rsidR="005D12B8">
        <w:t>.</w:t>
      </w:r>
    </w:p>
    <w:p w14:paraId="4CF0800E" w14:textId="465F7686" w:rsidR="005D12B8" w:rsidRDefault="005D12B8" w:rsidP="00855964">
      <w:pPr>
        <w:ind w:left="0"/>
      </w:pPr>
      <w:r>
        <w:t xml:space="preserve">Later cases flush out these doctrines and expand or limit the Court ability to make decisions that are denominated political questions. A famous 1962 </w:t>
      </w:r>
      <w:proofErr w:type="gramStart"/>
      <w:r>
        <w:t>case</w:t>
      </w:r>
      <w:r w:rsidR="00A22EA2">
        <w:t>,</w:t>
      </w:r>
      <w:r w:rsidRPr="003F361C">
        <w:rPr>
          <w:u w:val="single"/>
        </w:rPr>
        <w:t>Baker</w:t>
      </w:r>
      <w:proofErr w:type="gramEnd"/>
      <w:r w:rsidRPr="003F361C">
        <w:rPr>
          <w:u w:val="single"/>
        </w:rPr>
        <w:t xml:space="preserve"> v. Carr</w:t>
      </w:r>
      <w:r>
        <w:t xml:space="preserve">, </w:t>
      </w:r>
      <w:r w:rsidR="003F361C">
        <w:t>using a strict definition of political question</w:t>
      </w:r>
      <w:r w:rsidR="00921408">
        <w:t xml:space="preserve"> </w:t>
      </w:r>
      <w:r w:rsidR="00921408">
        <w:lastRenderedPageBreak/>
        <w:t xml:space="preserve">doctrine say the issue of reapportionment is no longer a political question. The Court is essentially striking down its power to not review political questions by saying this case does not involve a political question.  If doing what I call </w:t>
      </w:r>
      <w:proofErr w:type="gramStart"/>
      <w:r w:rsidR="00921408">
        <w:t xml:space="preserve">a </w:t>
      </w:r>
      <w:r w:rsidR="003F361C">
        <w:t xml:space="preserve"> Van</w:t>
      </w:r>
      <w:proofErr w:type="gramEnd"/>
      <w:r w:rsidR="003F361C">
        <w:t xml:space="preserve"> </w:t>
      </w:r>
      <w:proofErr w:type="spellStart"/>
      <w:r w:rsidR="003F361C">
        <w:t>geel</w:t>
      </w:r>
      <w:proofErr w:type="spellEnd"/>
      <w:r w:rsidR="003F361C">
        <w:t xml:space="preserve"> comparison between </w:t>
      </w:r>
      <w:r w:rsidR="003F361C" w:rsidRPr="00C45478">
        <w:rPr>
          <w:u w:val="single"/>
        </w:rPr>
        <w:t xml:space="preserve">Luther </w:t>
      </w:r>
      <w:r w:rsidR="003F361C">
        <w:t xml:space="preserve">and </w:t>
      </w:r>
      <w:r w:rsidR="003F361C" w:rsidRPr="00C45478">
        <w:rPr>
          <w:u w:val="single"/>
        </w:rPr>
        <w:t>Baker</w:t>
      </w:r>
      <w:r w:rsidR="003F361C">
        <w:t xml:space="preserve">, you would come up with the following:  </w:t>
      </w:r>
      <w:r w:rsidR="003F361C" w:rsidRPr="003F361C">
        <w:rPr>
          <w:u w:val="single"/>
        </w:rPr>
        <w:t>Luther</w:t>
      </w:r>
      <w:r w:rsidR="003F361C">
        <w:t xml:space="preserve"> uphold</w:t>
      </w:r>
      <w:r w:rsidR="00921408">
        <w:t>s</w:t>
      </w:r>
      <w:r w:rsidR="003F361C">
        <w:t xml:space="preserve"> Court’s policy of not tak</w:t>
      </w:r>
      <w:r w:rsidR="00C45478">
        <w:t>ing</w:t>
      </w:r>
      <w:r w:rsidR="003F361C">
        <w:t xml:space="preserve"> political questions or not taking cases in which there is no case or controversy.  The Court policy in </w:t>
      </w:r>
      <w:r w:rsidR="003F361C" w:rsidRPr="00C45478">
        <w:rPr>
          <w:u w:val="single"/>
        </w:rPr>
        <w:t>Baker i</w:t>
      </w:r>
      <w:r w:rsidR="003F361C">
        <w:t>s to take something that looks like a political question.  You end up in Box B because  you have an uphold</w:t>
      </w:r>
      <w:r w:rsidR="003F361C" w:rsidRPr="00C45478">
        <w:rPr>
          <w:u w:val="single"/>
        </w:rPr>
        <w:t>(Luther</w:t>
      </w:r>
      <w:r w:rsidR="003F361C">
        <w:t>)/</w:t>
      </w:r>
      <w:proofErr w:type="spellStart"/>
      <w:r w:rsidR="003F361C">
        <w:t>strikedown</w:t>
      </w:r>
      <w:proofErr w:type="spellEnd"/>
      <w:r w:rsidR="003F361C">
        <w:t>(</w:t>
      </w:r>
      <w:r w:rsidR="003F361C" w:rsidRPr="00C45478">
        <w:rPr>
          <w:u w:val="single"/>
        </w:rPr>
        <w:t>Baker</w:t>
      </w:r>
      <w:r w:rsidR="003F361C">
        <w:t xml:space="preserve">) sequence.  This shows a narrowing </w:t>
      </w:r>
      <w:proofErr w:type="gramStart"/>
      <w:r w:rsidR="003F361C">
        <w:t>of  the</w:t>
      </w:r>
      <w:proofErr w:type="gramEnd"/>
      <w:r w:rsidR="003F361C">
        <w:t xml:space="preserve"> </w:t>
      </w:r>
      <w:r w:rsidR="00C45478">
        <w:t>scope</w:t>
      </w:r>
      <w:r w:rsidR="003F361C">
        <w:t xml:space="preserve"> of the Court</w:t>
      </w:r>
      <w:r w:rsidR="00C45478">
        <w:t xml:space="preserve">s </w:t>
      </w:r>
      <w:r w:rsidR="002A4D6D">
        <w:t xml:space="preserve">use </w:t>
      </w:r>
      <w:r w:rsidR="00C45478">
        <w:t xml:space="preserve">political question </w:t>
      </w:r>
      <w:r w:rsidR="002A4D6D">
        <w:t xml:space="preserve"> to avoid deciding a particular set of issues, in Baker it was reapportionment. </w:t>
      </w:r>
      <w:proofErr w:type="gramStart"/>
      <w:r w:rsidR="00C45478">
        <w:t xml:space="preserve">doctrine </w:t>
      </w:r>
      <w:r w:rsidR="002A4D6D">
        <w:t xml:space="preserve"> </w:t>
      </w:r>
      <w:r w:rsidR="00C45478">
        <w:t>With</w:t>
      </w:r>
      <w:proofErr w:type="gramEnd"/>
      <w:r w:rsidR="00C45478">
        <w:t xml:space="preserve"> the decision in </w:t>
      </w:r>
      <w:r w:rsidR="00C45478" w:rsidRPr="00C45478">
        <w:rPr>
          <w:u w:val="single"/>
        </w:rPr>
        <w:t>Baker</w:t>
      </w:r>
      <w:r w:rsidR="00C45478">
        <w:t>, the Court will decide not to take fewer cases where the issue is raised</w:t>
      </w:r>
      <w:r w:rsidR="002A4D6D">
        <w:t xml:space="preserve">.  </w:t>
      </w:r>
      <w:proofErr w:type="gramStart"/>
      <w:r w:rsidR="002A4D6D">
        <w:t>The  next</w:t>
      </w:r>
      <w:proofErr w:type="gramEnd"/>
      <w:r w:rsidR="002A4D6D">
        <w:t xml:space="preserve"> case one might </w:t>
      </w:r>
      <w:proofErr w:type="spellStart"/>
      <w:r w:rsidR="002A4D6D">
        <w:t>compasre</w:t>
      </w:r>
      <w:proofErr w:type="spellEnd"/>
      <w:r w:rsidR="002A4D6D">
        <w:t xml:space="preserve"> to Baker may involve reapportionment.  Depending on how the policy is stated, it could be about the political question doctrine, but more likely the best comparison is on a state policy about reapportionment.  Again, there are many ways to look at the nature of the policy being upheld or struck down by the Supreme Court.  As we go through the </w:t>
      </w:r>
      <w:proofErr w:type="gramStart"/>
      <w:r w:rsidR="002A4D6D">
        <w:t>semester  and</w:t>
      </w:r>
      <w:proofErr w:type="gramEnd"/>
      <w:r w:rsidR="002A4D6D">
        <w:t xml:space="preserve"> on exams it will generally become clear which statement of the policy is best for comparison purposes.  In the course, civil liberties, the policy involved is more obvious.  In just about every case an individual is claiming a government at some level, local, state federal </w:t>
      </w:r>
      <w:proofErr w:type="spellStart"/>
      <w:r w:rsidR="002A4D6D">
        <w:t>etc</w:t>
      </w:r>
      <w:proofErr w:type="spellEnd"/>
      <w:r w:rsidR="002A4D6D">
        <w:t xml:space="preserve"> violated that individual’s rights under either the Bill of Rights, or one of the Amendments to the Constitution.  </w:t>
      </w:r>
    </w:p>
    <w:p w14:paraId="20B010DA" w14:textId="05AE3614" w:rsidR="002A4D6D" w:rsidRDefault="002A4D6D" w:rsidP="00855964">
      <w:pPr>
        <w:ind w:left="0"/>
      </w:pPr>
      <w:r>
        <w:t xml:space="preserve">In this course </w:t>
      </w:r>
      <w:proofErr w:type="gramStart"/>
      <w:r>
        <w:t>sometime</w:t>
      </w:r>
      <w:proofErr w:type="gramEnd"/>
      <w:r>
        <w:t xml:space="preserve"> you have to look at the various angles there might be to state the policy that was upheld or struck down by the Court.   We will discuss this more as we get closer to the first exam. For now, make sure you have in your brief something about what the government policy </w:t>
      </w:r>
      <w:proofErr w:type="spellStart"/>
      <w:r>
        <w:t>underconsideration</w:t>
      </w:r>
      <w:proofErr w:type="spellEnd"/>
      <w:r>
        <w:t xml:space="preserve"> is.  In the relation to precedent part which comes after the part on legal reasoning, you should be doing a van </w:t>
      </w:r>
      <w:proofErr w:type="spellStart"/>
      <w:r>
        <w:t>Geel</w:t>
      </w:r>
      <w:proofErr w:type="spellEnd"/>
      <w:r>
        <w:t xml:space="preserve"> comparison of the policy in the case you have briefed with a prior case that is mentioned in the opinion </w:t>
      </w:r>
      <w:proofErr w:type="gramStart"/>
      <w:r>
        <w:t>You</w:t>
      </w:r>
      <w:proofErr w:type="gramEnd"/>
      <w:r>
        <w:t xml:space="preserve"> choice of prior case since many will be mentioned.</w:t>
      </w:r>
    </w:p>
    <w:p w14:paraId="075D5B16" w14:textId="77777777" w:rsidR="002A4D6D" w:rsidRDefault="002A4D6D" w:rsidP="00855964">
      <w:pPr>
        <w:ind w:left="0"/>
      </w:pPr>
    </w:p>
    <w:p w14:paraId="416D7EEA" w14:textId="77777777" w:rsidR="005D12B8" w:rsidRDefault="005D12B8">
      <w:pPr>
        <w:ind w:left="0"/>
      </w:pPr>
    </w:p>
    <w:sectPr w:rsidR="005D12B8" w:rsidSect="00BF6302">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64"/>
    <w:rsid w:val="00095AD5"/>
    <w:rsid w:val="000A6916"/>
    <w:rsid w:val="002A4D6D"/>
    <w:rsid w:val="00305D1A"/>
    <w:rsid w:val="00361D0F"/>
    <w:rsid w:val="003A1628"/>
    <w:rsid w:val="003F361C"/>
    <w:rsid w:val="004042F6"/>
    <w:rsid w:val="004053B7"/>
    <w:rsid w:val="00441FCA"/>
    <w:rsid w:val="005D12B8"/>
    <w:rsid w:val="00680E39"/>
    <w:rsid w:val="00855964"/>
    <w:rsid w:val="00882267"/>
    <w:rsid w:val="00921408"/>
    <w:rsid w:val="00A22EA2"/>
    <w:rsid w:val="00A758B4"/>
    <w:rsid w:val="00BF6302"/>
    <w:rsid w:val="00C45478"/>
    <w:rsid w:val="00CD1AA2"/>
    <w:rsid w:val="00D10873"/>
    <w:rsid w:val="00DB2EF7"/>
    <w:rsid w:val="00E605FB"/>
    <w:rsid w:val="00F5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F076"/>
  <w15:docId w15:val="{AA15ADA7-9C13-4800-947B-99FAA937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28"/>
  </w:style>
  <w:style w:type="paragraph" w:styleId="Heading1">
    <w:name w:val="heading 1"/>
    <w:basedOn w:val="Normal"/>
    <w:next w:val="Normal"/>
    <w:link w:val="Heading1Char"/>
    <w:uiPriority w:val="9"/>
    <w:qFormat/>
    <w:rsid w:val="00F51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19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19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9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19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19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19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9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19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19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19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9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519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519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519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19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193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519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193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193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193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51932"/>
    <w:rPr>
      <w:b/>
      <w:bCs/>
    </w:rPr>
  </w:style>
  <w:style w:type="character" w:styleId="Emphasis">
    <w:name w:val="Emphasis"/>
    <w:uiPriority w:val="20"/>
    <w:qFormat/>
    <w:rsid w:val="00F51932"/>
    <w:rPr>
      <w:i/>
      <w:iCs/>
    </w:rPr>
  </w:style>
  <w:style w:type="paragraph" w:styleId="NoSpacing">
    <w:name w:val="No Spacing"/>
    <w:basedOn w:val="Normal"/>
    <w:link w:val="NoSpacingChar"/>
    <w:uiPriority w:val="1"/>
    <w:qFormat/>
    <w:rsid w:val="00F51932"/>
    <w:pPr>
      <w:spacing w:after="0"/>
    </w:pPr>
  </w:style>
  <w:style w:type="paragraph" w:styleId="ListParagraph">
    <w:name w:val="List Paragraph"/>
    <w:basedOn w:val="Normal"/>
    <w:uiPriority w:val="34"/>
    <w:qFormat/>
    <w:rsid w:val="00F51932"/>
    <w:pPr>
      <w:contextualSpacing/>
    </w:pPr>
  </w:style>
  <w:style w:type="paragraph" w:styleId="Quote">
    <w:name w:val="Quote"/>
    <w:basedOn w:val="Normal"/>
    <w:next w:val="Normal"/>
    <w:link w:val="QuoteChar"/>
    <w:uiPriority w:val="29"/>
    <w:qFormat/>
    <w:rsid w:val="00F51932"/>
    <w:rPr>
      <w:i/>
      <w:iCs/>
      <w:color w:val="000000" w:themeColor="text1"/>
    </w:rPr>
  </w:style>
  <w:style w:type="character" w:customStyle="1" w:styleId="QuoteChar">
    <w:name w:val="Quote Char"/>
    <w:basedOn w:val="DefaultParagraphFont"/>
    <w:link w:val="Quote"/>
    <w:uiPriority w:val="29"/>
    <w:rsid w:val="00F51932"/>
    <w:rPr>
      <w:i/>
      <w:iCs/>
      <w:color w:val="000000" w:themeColor="text1"/>
    </w:rPr>
  </w:style>
  <w:style w:type="paragraph" w:styleId="IntenseQuote">
    <w:name w:val="Intense Quote"/>
    <w:basedOn w:val="Normal"/>
    <w:next w:val="Normal"/>
    <w:link w:val="IntenseQuoteChar"/>
    <w:uiPriority w:val="30"/>
    <w:qFormat/>
    <w:rsid w:val="00F519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1932"/>
    <w:rPr>
      <w:b/>
      <w:bCs/>
      <w:i/>
      <w:iCs/>
      <w:color w:val="4F81BD" w:themeColor="accent1"/>
    </w:rPr>
  </w:style>
  <w:style w:type="character" w:styleId="SubtleEmphasis">
    <w:name w:val="Subtle Emphasis"/>
    <w:uiPriority w:val="19"/>
    <w:qFormat/>
    <w:rsid w:val="00F51932"/>
    <w:rPr>
      <w:i/>
      <w:iCs/>
      <w:color w:val="808080" w:themeColor="text1" w:themeTint="7F"/>
    </w:rPr>
  </w:style>
  <w:style w:type="character" w:styleId="IntenseEmphasis">
    <w:name w:val="Intense Emphasis"/>
    <w:uiPriority w:val="21"/>
    <w:qFormat/>
    <w:rsid w:val="00F51932"/>
    <w:rPr>
      <w:b/>
      <w:bCs/>
      <w:i/>
      <w:iCs/>
      <w:color w:val="4F81BD" w:themeColor="accent1"/>
    </w:rPr>
  </w:style>
  <w:style w:type="character" w:styleId="SubtleReference">
    <w:name w:val="Subtle Reference"/>
    <w:basedOn w:val="DefaultParagraphFont"/>
    <w:uiPriority w:val="31"/>
    <w:qFormat/>
    <w:rsid w:val="00F51932"/>
    <w:rPr>
      <w:smallCaps/>
      <w:color w:val="C0504D" w:themeColor="accent2"/>
      <w:u w:val="single"/>
    </w:rPr>
  </w:style>
  <w:style w:type="character" w:styleId="IntenseReference">
    <w:name w:val="Intense Reference"/>
    <w:uiPriority w:val="32"/>
    <w:qFormat/>
    <w:rsid w:val="00F51932"/>
    <w:rPr>
      <w:b/>
      <w:bCs/>
      <w:smallCaps/>
      <w:color w:val="C0504D" w:themeColor="accent2"/>
      <w:spacing w:val="5"/>
      <w:u w:val="single"/>
    </w:rPr>
  </w:style>
  <w:style w:type="character" w:styleId="BookTitle">
    <w:name w:val="Book Title"/>
    <w:basedOn w:val="DefaultParagraphFont"/>
    <w:uiPriority w:val="33"/>
    <w:qFormat/>
    <w:rsid w:val="00F51932"/>
    <w:rPr>
      <w:b/>
      <w:bCs/>
      <w:smallCaps/>
      <w:spacing w:val="5"/>
    </w:rPr>
  </w:style>
  <w:style w:type="paragraph" w:styleId="TOCHeading">
    <w:name w:val="TOC Heading"/>
    <w:basedOn w:val="Heading1"/>
    <w:next w:val="Normal"/>
    <w:uiPriority w:val="39"/>
    <w:semiHidden/>
    <w:unhideWhenUsed/>
    <w:qFormat/>
    <w:rsid w:val="00F51932"/>
    <w:pPr>
      <w:outlineLvl w:val="9"/>
    </w:pPr>
  </w:style>
  <w:style w:type="character" w:customStyle="1" w:styleId="NoSpacingChar">
    <w:name w:val="No Spacing Char"/>
    <w:basedOn w:val="DefaultParagraphFont"/>
    <w:link w:val="NoSpacing"/>
    <w:uiPriority w:val="1"/>
    <w:rsid w:val="00F5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Sager</cp:lastModifiedBy>
  <cp:revision>2</cp:revision>
  <dcterms:created xsi:type="dcterms:W3CDTF">2021-02-05T22:48:00Z</dcterms:created>
  <dcterms:modified xsi:type="dcterms:W3CDTF">2021-02-05T22:48:00Z</dcterms:modified>
</cp:coreProperties>
</file>