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F6E" w:rsidRPr="00686319" w:rsidRDefault="00B25F6E">
      <w:pPr>
        <w:pStyle w:val="NoteLevel1"/>
        <w:rPr>
          <w:color w:val="0F243E" w:themeColor="text2" w:themeShade="80"/>
          <w:sz w:val="20"/>
        </w:rPr>
      </w:pPr>
      <w:r w:rsidRPr="00686319">
        <w:rPr>
          <w:color w:val="0F243E" w:themeColor="text2" w:themeShade="80"/>
          <w:sz w:val="20"/>
        </w:rPr>
        <w:t>Facts:</w:t>
      </w:r>
    </w:p>
    <w:p w:rsidR="00C61F94" w:rsidRPr="00686319" w:rsidRDefault="00B25F6E" w:rsidP="00B25F6E">
      <w:pPr>
        <w:pStyle w:val="NoteLevel2"/>
        <w:rPr>
          <w:color w:val="0F243E" w:themeColor="text2" w:themeShade="80"/>
          <w:sz w:val="20"/>
        </w:rPr>
      </w:pPr>
      <w:r w:rsidRPr="00686319">
        <w:rPr>
          <w:color w:val="0F243E" w:themeColor="text2" w:themeShade="80"/>
          <w:sz w:val="20"/>
        </w:rPr>
        <w:t xml:space="preserve">A 1975 revision to Texas education laws allowed the state to withhold funds intended </w:t>
      </w:r>
      <w:r w:rsidR="00D72A4C" w:rsidRPr="00686319">
        <w:rPr>
          <w:color w:val="0F243E" w:themeColor="text2" w:themeShade="80"/>
          <w:sz w:val="20"/>
        </w:rPr>
        <w:t xml:space="preserve">for local school districts, if they </w:t>
      </w:r>
      <w:r w:rsidR="00D72A4C">
        <w:rPr>
          <w:color w:val="0F243E" w:themeColor="text2" w:themeShade="80"/>
          <w:sz w:val="20"/>
        </w:rPr>
        <w:t xml:space="preserve">were educating children who had not been </w:t>
      </w:r>
      <w:r w:rsidR="00D72A4C" w:rsidRPr="00686319">
        <w:rPr>
          <w:color w:val="0F243E" w:themeColor="text2" w:themeShade="80"/>
          <w:sz w:val="20"/>
        </w:rPr>
        <w:t>“legally admitted” to the US</w:t>
      </w:r>
      <w:r w:rsidR="00D72A4C">
        <w:rPr>
          <w:color w:val="0F243E" w:themeColor="text2" w:themeShade="80"/>
          <w:sz w:val="20"/>
        </w:rPr>
        <w:t>.</w:t>
      </w:r>
    </w:p>
    <w:p w:rsidR="00C61F94" w:rsidRPr="00686319" w:rsidRDefault="000719B5" w:rsidP="00C61F94">
      <w:pPr>
        <w:pStyle w:val="NoteLevel1"/>
        <w:rPr>
          <w:color w:val="0F243E" w:themeColor="text2" w:themeShade="80"/>
          <w:sz w:val="20"/>
        </w:rPr>
      </w:pPr>
    </w:p>
    <w:p w:rsidR="00C61F94" w:rsidRPr="00686319" w:rsidRDefault="00D72A4C" w:rsidP="00C61F94">
      <w:pPr>
        <w:pStyle w:val="NoteLevel1"/>
        <w:rPr>
          <w:color w:val="0F243E" w:themeColor="text2" w:themeShade="80"/>
          <w:sz w:val="20"/>
        </w:rPr>
      </w:pPr>
      <w:r w:rsidRPr="00686319">
        <w:rPr>
          <w:color w:val="0F243E" w:themeColor="text2" w:themeShade="80"/>
          <w:sz w:val="20"/>
        </w:rPr>
        <w:t>Procedural History:</w:t>
      </w:r>
    </w:p>
    <w:p w:rsidR="00C61F94" w:rsidRPr="00686319" w:rsidRDefault="00D72A4C" w:rsidP="00C61F94">
      <w:pPr>
        <w:pStyle w:val="NoteLevel2"/>
        <w:rPr>
          <w:color w:val="0F243E" w:themeColor="text2" w:themeShade="80"/>
          <w:sz w:val="20"/>
        </w:rPr>
      </w:pPr>
      <w:r w:rsidRPr="00686319">
        <w:rPr>
          <w:color w:val="0F243E" w:themeColor="text2" w:themeShade="80"/>
          <w:sz w:val="20"/>
        </w:rPr>
        <w:t>US District Court (Eastern District of Texas)</w:t>
      </w:r>
    </w:p>
    <w:p w:rsidR="00C61F94" w:rsidRPr="00686319" w:rsidRDefault="00D72A4C" w:rsidP="00C61F94">
      <w:pPr>
        <w:pStyle w:val="NoteLevel3"/>
        <w:rPr>
          <w:color w:val="0F243E" w:themeColor="text2" w:themeShade="80"/>
          <w:sz w:val="20"/>
        </w:rPr>
      </w:pPr>
      <w:r w:rsidRPr="00686319">
        <w:rPr>
          <w:color w:val="0F243E" w:themeColor="text2" w:themeShade="80"/>
          <w:sz w:val="20"/>
        </w:rPr>
        <w:t>Judgment for the plaintiff Plyler</w:t>
      </w:r>
    </w:p>
    <w:p w:rsidR="00C61F94" w:rsidRPr="00686319" w:rsidRDefault="00D72A4C" w:rsidP="00C61F94">
      <w:pPr>
        <w:pStyle w:val="NoteLevel2"/>
        <w:rPr>
          <w:color w:val="0F243E" w:themeColor="text2" w:themeShade="80"/>
          <w:sz w:val="20"/>
        </w:rPr>
      </w:pPr>
      <w:r w:rsidRPr="00686319">
        <w:rPr>
          <w:color w:val="0F243E" w:themeColor="text2" w:themeShade="80"/>
          <w:sz w:val="20"/>
        </w:rPr>
        <w:t>US Court of Appeals 5</w:t>
      </w:r>
      <w:r w:rsidRPr="00686319">
        <w:rPr>
          <w:color w:val="0F243E" w:themeColor="text2" w:themeShade="80"/>
          <w:sz w:val="20"/>
          <w:vertAlign w:val="superscript"/>
        </w:rPr>
        <w:t>th</w:t>
      </w:r>
      <w:r w:rsidRPr="00686319">
        <w:rPr>
          <w:color w:val="0F243E" w:themeColor="text2" w:themeShade="80"/>
          <w:sz w:val="20"/>
        </w:rPr>
        <w:t xml:space="preserve"> Circuit </w:t>
      </w:r>
    </w:p>
    <w:p w:rsidR="00C61F94" w:rsidRPr="00686319" w:rsidRDefault="00D72A4C" w:rsidP="00C61F94">
      <w:pPr>
        <w:pStyle w:val="NoteLevel3"/>
        <w:rPr>
          <w:color w:val="0F243E" w:themeColor="text2" w:themeShade="80"/>
          <w:sz w:val="20"/>
        </w:rPr>
      </w:pPr>
      <w:r w:rsidRPr="00686319">
        <w:rPr>
          <w:color w:val="0F243E" w:themeColor="text2" w:themeShade="80"/>
          <w:sz w:val="20"/>
        </w:rPr>
        <w:t>Judgment Affirmed</w:t>
      </w:r>
    </w:p>
    <w:p w:rsidR="00C61F94" w:rsidRPr="00686319" w:rsidRDefault="00D72A4C" w:rsidP="00C61F94">
      <w:pPr>
        <w:pStyle w:val="NoteLevel2"/>
        <w:rPr>
          <w:color w:val="0F243E" w:themeColor="text2" w:themeShade="80"/>
          <w:sz w:val="20"/>
        </w:rPr>
      </w:pPr>
      <w:r w:rsidRPr="00686319">
        <w:rPr>
          <w:color w:val="0F243E" w:themeColor="text2" w:themeShade="80"/>
          <w:sz w:val="20"/>
        </w:rPr>
        <w:t>Appeal to US Supreme Court</w:t>
      </w:r>
    </w:p>
    <w:p w:rsidR="00C61F94" w:rsidRPr="00686319" w:rsidRDefault="000719B5" w:rsidP="00C61F94">
      <w:pPr>
        <w:pStyle w:val="NoteLevel1"/>
        <w:rPr>
          <w:color w:val="0F243E" w:themeColor="text2" w:themeShade="80"/>
          <w:sz w:val="20"/>
        </w:rPr>
      </w:pPr>
    </w:p>
    <w:p w:rsidR="00C61F94" w:rsidRPr="00686319" w:rsidRDefault="00D72A4C" w:rsidP="00C61F94">
      <w:pPr>
        <w:pStyle w:val="NoteLevel1"/>
        <w:rPr>
          <w:color w:val="0F243E" w:themeColor="text2" w:themeShade="80"/>
          <w:sz w:val="20"/>
        </w:rPr>
      </w:pPr>
      <w:r w:rsidRPr="00686319">
        <w:rPr>
          <w:color w:val="0F243E" w:themeColor="text2" w:themeShade="80"/>
          <w:sz w:val="20"/>
        </w:rPr>
        <w:t>Issue:</w:t>
      </w:r>
    </w:p>
    <w:p w:rsidR="009540F8" w:rsidRPr="00686319" w:rsidRDefault="00D72A4C" w:rsidP="00C61F94">
      <w:pPr>
        <w:pStyle w:val="NoteLevel2"/>
        <w:rPr>
          <w:color w:val="0F243E" w:themeColor="text2" w:themeShade="80"/>
          <w:sz w:val="20"/>
        </w:rPr>
      </w:pPr>
      <w:r w:rsidRPr="00686319">
        <w:rPr>
          <w:color w:val="0F243E" w:themeColor="text2" w:themeShade="80"/>
          <w:sz w:val="20"/>
        </w:rPr>
        <w:t>Did the TX education law violate the 14</w:t>
      </w:r>
      <w:r w:rsidRPr="00686319">
        <w:rPr>
          <w:color w:val="0F243E" w:themeColor="text2" w:themeShade="80"/>
          <w:sz w:val="20"/>
          <w:vertAlign w:val="superscript"/>
        </w:rPr>
        <w:t>th</w:t>
      </w:r>
      <w:r w:rsidRPr="00686319">
        <w:rPr>
          <w:color w:val="0F243E" w:themeColor="text2" w:themeShade="80"/>
          <w:sz w:val="20"/>
        </w:rPr>
        <w:t xml:space="preserve"> amendment’s Equal Protection clause?</w:t>
      </w:r>
    </w:p>
    <w:p w:rsidR="009540F8" w:rsidRPr="00686319" w:rsidRDefault="000719B5" w:rsidP="009540F8">
      <w:pPr>
        <w:pStyle w:val="NoteLevel1"/>
        <w:rPr>
          <w:color w:val="0F243E" w:themeColor="text2" w:themeShade="80"/>
          <w:sz w:val="20"/>
        </w:rPr>
      </w:pPr>
    </w:p>
    <w:p w:rsidR="009540F8" w:rsidRPr="00686319" w:rsidRDefault="00D72A4C" w:rsidP="009540F8">
      <w:pPr>
        <w:pStyle w:val="NoteLevel1"/>
        <w:rPr>
          <w:color w:val="0F243E" w:themeColor="text2" w:themeShade="80"/>
          <w:sz w:val="20"/>
        </w:rPr>
      </w:pPr>
      <w:r w:rsidRPr="00686319">
        <w:rPr>
          <w:color w:val="0F243E" w:themeColor="text2" w:themeShade="80"/>
          <w:sz w:val="20"/>
        </w:rPr>
        <w:t>Holding:</w:t>
      </w:r>
    </w:p>
    <w:p w:rsidR="00F459D0" w:rsidRDefault="00D72A4C" w:rsidP="009540F8">
      <w:pPr>
        <w:pStyle w:val="NoteLevel2"/>
        <w:rPr>
          <w:color w:val="0F243E" w:themeColor="text2" w:themeShade="80"/>
          <w:sz w:val="20"/>
        </w:rPr>
      </w:pPr>
      <w:r w:rsidRPr="00686319">
        <w:rPr>
          <w:color w:val="0F243E" w:themeColor="text2" w:themeShade="80"/>
          <w:sz w:val="20"/>
        </w:rPr>
        <w:t>Yes; the regulation did not further a “compelling state interest”.</w:t>
      </w:r>
    </w:p>
    <w:p w:rsidR="00F459D0" w:rsidRDefault="000719B5" w:rsidP="00F459D0">
      <w:pPr>
        <w:pStyle w:val="NoteLevel1"/>
        <w:rPr>
          <w:color w:val="0F243E" w:themeColor="text2" w:themeShade="80"/>
          <w:sz w:val="20"/>
        </w:rPr>
      </w:pPr>
    </w:p>
    <w:p w:rsidR="00A90235" w:rsidRPr="00686319" w:rsidRDefault="00D72A4C" w:rsidP="00F459D0">
      <w:pPr>
        <w:pStyle w:val="NoteLevel1"/>
        <w:rPr>
          <w:color w:val="0F243E" w:themeColor="text2" w:themeShade="80"/>
          <w:sz w:val="20"/>
        </w:rPr>
      </w:pPr>
      <w:r>
        <w:rPr>
          <w:color w:val="0F243E" w:themeColor="text2" w:themeShade="80"/>
          <w:sz w:val="20"/>
        </w:rPr>
        <w:t>Judgment: Affirmed</w:t>
      </w:r>
    </w:p>
    <w:p w:rsidR="00A90235" w:rsidRPr="00686319" w:rsidRDefault="000719B5" w:rsidP="00A90235">
      <w:pPr>
        <w:pStyle w:val="NoteLevel1"/>
        <w:rPr>
          <w:color w:val="0F243E" w:themeColor="text2" w:themeShade="80"/>
          <w:sz w:val="20"/>
        </w:rPr>
      </w:pPr>
    </w:p>
    <w:p w:rsidR="005D771E" w:rsidRPr="00686319" w:rsidRDefault="00D72A4C" w:rsidP="00A90235">
      <w:pPr>
        <w:pStyle w:val="NoteLevel1"/>
        <w:rPr>
          <w:color w:val="0F243E" w:themeColor="text2" w:themeShade="80"/>
          <w:sz w:val="20"/>
        </w:rPr>
      </w:pPr>
      <w:r w:rsidRPr="00686319">
        <w:rPr>
          <w:color w:val="0F243E" w:themeColor="text2" w:themeShade="80"/>
          <w:sz w:val="20"/>
        </w:rPr>
        <w:t>Legal Reasoning:</w:t>
      </w:r>
    </w:p>
    <w:p w:rsidR="005D771E" w:rsidRPr="00686319" w:rsidRDefault="00D72A4C" w:rsidP="005D771E">
      <w:pPr>
        <w:pStyle w:val="NoteLevel2"/>
        <w:rPr>
          <w:color w:val="0F243E" w:themeColor="text2" w:themeShade="80"/>
          <w:sz w:val="20"/>
        </w:rPr>
      </w:pPr>
      <w:r w:rsidRPr="00686319">
        <w:rPr>
          <w:color w:val="0F243E" w:themeColor="text2" w:themeShade="80"/>
          <w:sz w:val="20"/>
        </w:rPr>
        <w:t>Majority (Brennan)</w:t>
      </w:r>
    </w:p>
    <w:p w:rsidR="005D771E" w:rsidRPr="00686319" w:rsidRDefault="00D72A4C" w:rsidP="005D771E">
      <w:pPr>
        <w:pStyle w:val="NoteLevel3"/>
        <w:rPr>
          <w:color w:val="0F243E" w:themeColor="text2" w:themeShade="80"/>
          <w:sz w:val="20"/>
        </w:rPr>
      </w:pPr>
      <w:r w:rsidRPr="00686319">
        <w:rPr>
          <w:color w:val="0F243E" w:themeColor="text2" w:themeShade="80"/>
          <w:sz w:val="20"/>
        </w:rPr>
        <w:t>Equal Protection clause was intended to abolish “caste-based and invidious class-based legislation”</w:t>
      </w:r>
    </w:p>
    <w:p w:rsidR="005D771E" w:rsidRPr="00686319" w:rsidRDefault="00D72A4C" w:rsidP="005D771E">
      <w:pPr>
        <w:pStyle w:val="NoteLevel3"/>
        <w:rPr>
          <w:color w:val="0F243E" w:themeColor="text2" w:themeShade="80"/>
          <w:sz w:val="20"/>
        </w:rPr>
      </w:pPr>
      <w:r w:rsidRPr="00686319">
        <w:rPr>
          <w:color w:val="0F243E" w:themeColor="text2" w:themeShade="80"/>
          <w:sz w:val="20"/>
        </w:rPr>
        <w:t>“Within its jurisdiction” extend to anyone, citizen or stranger who is subject to the laws of the state, regardless of their illegal or legal entry into the state.</w:t>
      </w:r>
    </w:p>
    <w:p w:rsidR="005D771E" w:rsidRPr="00686319" w:rsidRDefault="00D72A4C" w:rsidP="005D771E">
      <w:pPr>
        <w:pStyle w:val="NoteLevel3"/>
        <w:rPr>
          <w:color w:val="0F243E" w:themeColor="text2" w:themeShade="80"/>
          <w:sz w:val="20"/>
        </w:rPr>
      </w:pPr>
      <w:r w:rsidRPr="00686319">
        <w:rPr>
          <w:color w:val="0F243E" w:themeColor="text2" w:themeShade="80"/>
          <w:sz w:val="20"/>
        </w:rPr>
        <w:t>Classifications that disadvantage a “suspect class”, the state must prove that the classification has been precisely tailored to serve a compelling government interest.</w:t>
      </w:r>
    </w:p>
    <w:p w:rsidR="005D771E" w:rsidRPr="00686319" w:rsidRDefault="00D72A4C" w:rsidP="005D771E">
      <w:pPr>
        <w:pStyle w:val="NoteLevel3"/>
        <w:rPr>
          <w:color w:val="0F243E" w:themeColor="text2" w:themeShade="80"/>
          <w:sz w:val="20"/>
        </w:rPr>
      </w:pPr>
      <w:r w:rsidRPr="00686319">
        <w:rPr>
          <w:color w:val="0F243E" w:themeColor="text2" w:themeShade="80"/>
          <w:sz w:val="20"/>
        </w:rPr>
        <w:t>Public education is not a “right” ranted to individuals by the constitution, but is necessary to preserve our democratic form of government.</w:t>
      </w:r>
    </w:p>
    <w:p w:rsidR="001A777F" w:rsidRPr="00686319" w:rsidRDefault="00D72A4C" w:rsidP="005D771E">
      <w:pPr>
        <w:pStyle w:val="NoteLevel2"/>
        <w:rPr>
          <w:color w:val="0F243E" w:themeColor="text2" w:themeShade="80"/>
          <w:sz w:val="20"/>
        </w:rPr>
      </w:pPr>
      <w:r w:rsidRPr="00686319">
        <w:rPr>
          <w:color w:val="0F243E" w:themeColor="text2" w:themeShade="80"/>
          <w:sz w:val="20"/>
        </w:rPr>
        <w:t>Concurrence (Blackmun)</w:t>
      </w:r>
    </w:p>
    <w:p w:rsidR="001A777F" w:rsidRPr="00686319" w:rsidRDefault="00D72A4C" w:rsidP="001A777F">
      <w:pPr>
        <w:pStyle w:val="NoteLevel3"/>
        <w:rPr>
          <w:color w:val="0F243E" w:themeColor="text2" w:themeShade="80"/>
          <w:sz w:val="20"/>
        </w:rPr>
      </w:pPr>
      <w:r w:rsidRPr="00686319">
        <w:rPr>
          <w:color w:val="0F243E" w:themeColor="text2" w:themeShade="80"/>
          <w:sz w:val="20"/>
        </w:rPr>
        <w:t xml:space="preserve">Classifications involving non constitutional interests generally are not subject to special treatment under the Equal Protection Clause, because </w:t>
      </w:r>
      <w:r w:rsidRPr="00686319">
        <w:rPr>
          <w:color w:val="0F243E" w:themeColor="text2" w:themeShade="80"/>
          <w:sz w:val="20"/>
        </w:rPr>
        <w:lastRenderedPageBreak/>
        <w:t xml:space="preserve">they are not distinguishable in any relevant way from other regulations in "the area of economics and social welfare." </w:t>
      </w:r>
    </w:p>
    <w:p w:rsidR="001A777F" w:rsidRPr="00686319" w:rsidRDefault="00D72A4C" w:rsidP="001A777F">
      <w:pPr>
        <w:pStyle w:val="NoteLevel2"/>
        <w:rPr>
          <w:color w:val="0F243E" w:themeColor="text2" w:themeShade="80"/>
          <w:sz w:val="20"/>
        </w:rPr>
      </w:pPr>
      <w:r w:rsidRPr="00686319">
        <w:rPr>
          <w:color w:val="0F243E" w:themeColor="text2" w:themeShade="80"/>
          <w:sz w:val="20"/>
        </w:rPr>
        <w:t>Dissent (Burger)</w:t>
      </w:r>
    </w:p>
    <w:p w:rsidR="00BB4FFE" w:rsidRPr="00686319" w:rsidRDefault="00D72A4C" w:rsidP="001A777F">
      <w:pPr>
        <w:pStyle w:val="NoteLevel3"/>
        <w:rPr>
          <w:color w:val="0F243E" w:themeColor="text2" w:themeShade="80"/>
          <w:sz w:val="20"/>
        </w:rPr>
      </w:pPr>
      <w:r w:rsidRPr="00686319">
        <w:rPr>
          <w:color w:val="0F243E" w:themeColor="text2" w:themeShade="80"/>
          <w:sz w:val="20"/>
        </w:rPr>
        <w:t>Doesn’t believe that it is the court’s place to be making decision about “social policy”</w:t>
      </w:r>
    </w:p>
    <w:p w:rsidR="00A90235" w:rsidRPr="00686319" w:rsidRDefault="00D72A4C" w:rsidP="001A777F">
      <w:pPr>
        <w:pStyle w:val="NoteLevel3"/>
        <w:rPr>
          <w:color w:val="0F243E" w:themeColor="text2" w:themeShade="80"/>
          <w:sz w:val="20"/>
        </w:rPr>
      </w:pPr>
      <w:r w:rsidRPr="00686319">
        <w:rPr>
          <w:color w:val="0F243E" w:themeColor="text2" w:themeShade="80"/>
          <w:sz w:val="20"/>
        </w:rPr>
        <w:t>Illegal aliens are definitely covered under the 14</w:t>
      </w:r>
      <w:r w:rsidRPr="00686319">
        <w:rPr>
          <w:color w:val="0F243E" w:themeColor="text2" w:themeShade="80"/>
          <w:sz w:val="20"/>
          <w:vertAlign w:val="superscript"/>
        </w:rPr>
        <w:t>th</w:t>
      </w:r>
      <w:r w:rsidRPr="00686319">
        <w:rPr>
          <w:color w:val="0F243E" w:themeColor="text2" w:themeShade="80"/>
          <w:sz w:val="20"/>
        </w:rPr>
        <w:t xml:space="preserve"> but, believes the state has the right to make decisions regarding the allocation of funds while taking into account the legal status of those receiving the funds.</w:t>
      </w:r>
    </w:p>
    <w:p w:rsidR="00A90235" w:rsidRPr="00686319" w:rsidRDefault="000719B5" w:rsidP="00A90235">
      <w:pPr>
        <w:pStyle w:val="NoteLevel1"/>
        <w:rPr>
          <w:color w:val="0F243E" w:themeColor="text2" w:themeShade="80"/>
          <w:sz w:val="20"/>
        </w:rPr>
      </w:pPr>
    </w:p>
    <w:p w:rsidR="00FA2EF6" w:rsidRPr="00686319" w:rsidRDefault="00D72A4C" w:rsidP="00A90235">
      <w:pPr>
        <w:pStyle w:val="NoteLevel1"/>
        <w:rPr>
          <w:color w:val="0F243E" w:themeColor="text2" w:themeShade="80"/>
          <w:sz w:val="20"/>
        </w:rPr>
      </w:pPr>
      <w:r w:rsidRPr="00686319">
        <w:rPr>
          <w:color w:val="0F243E" w:themeColor="text2" w:themeShade="80"/>
          <w:sz w:val="20"/>
        </w:rPr>
        <w:t>Relation to Other Cases/Precedent:</w:t>
      </w:r>
    </w:p>
    <w:p w:rsidR="00FA2EF6" w:rsidRPr="00686319" w:rsidRDefault="00D72A4C" w:rsidP="00FA2EF6">
      <w:pPr>
        <w:pStyle w:val="NoteLevel2"/>
        <w:rPr>
          <w:color w:val="0F243E" w:themeColor="text2" w:themeShade="80"/>
          <w:sz w:val="20"/>
        </w:rPr>
      </w:pPr>
      <w:r w:rsidRPr="00686319">
        <w:rPr>
          <w:color w:val="0F243E" w:themeColor="text2" w:themeShade="80"/>
          <w:sz w:val="20"/>
        </w:rPr>
        <w:t>Using Yick Wo v. Hopkins as precedent</w:t>
      </w:r>
    </w:p>
    <w:p w:rsidR="00A90235" w:rsidRPr="00686319" w:rsidRDefault="000719B5" w:rsidP="00A90235">
      <w:pPr>
        <w:pStyle w:val="NoteLevel1"/>
        <w:rPr>
          <w:color w:val="0F243E" w:themeColor="text2" w:themeShade="80"/>
          <w:sz w:val="20"/>
        </w:rPr>
      </w:pPr>
    </w:p>
    <w:p w:rsidR="00A90235" w:rsidRPr="00686319" w:rsidRDefault="00215395" w:rsidP="00A90235">
      <w:pPr>
        <w:pStyle w:val="NoteLevel2"/>
        <w:rPr>
          <w:color w:val="0F243E" w:themeColor="text2" w:themeShade="80"/>
          <w:sz w:val="20"/>
        </w:rPr>
      </w:pPr>
      <w:r>
        <w:rPr>
          <w:noProof/>
          <w:color w:val="0F243E" w:themeColor="text2" w:themeShade="8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0</wp:posOffset>
                </wp:positionV>
                <wp:extent cx="0" cy="1143000"/>
                <wp:effectExtent l="22860" t="28575" r="24765" b="571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05pt,0" to="121.0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" strokecolor="#4a7ebb" strokeweight="3.5pt">
                <v:fill o:detectmouseclick="t"/>
                <v:shadow on="t" opacity="22938f" offset="0"/>
              </v:line>
            </w:pict>
          </mc:Fallback>
        </mc:AlternateContent>
      </w:r>
      <w:r>
        <w:rPr>
          <w:noProof/>
          <w:color w:val="0F243E" w:themeColor="text2" w:themeShade="8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0" cy="1143000"/>
                <wp:effectExtent l="22860" t="28575" r="24765" b="571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67.0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" strokecolor="#4a7ebb" strokeweight="3.5pt">
                <v:fill o:detectmouseclick="t"/>
                <v:shadow on="t" opacity="22938f" offset="0"/>
              </v:line>
            </w:pict>
          </mc:Fallback>
        </mc:AlternateContent>
      </w:r>
      <w:r w:rsidR="00D72A4C" w:rsidRPr="00686319">
        <w:rPr>
          <w:color w:val="0F243E" w:themeColor="text2" w:themeShade="80"/>
          <w:sz w:val="20"/>
        </w:rPr>
        <w:t xml:space="preserve">       SD         UH</w:t>
      </w:r>
    </w:p>
    <w:p w:rsidR="00A90235" w:rsidRPr="00686319" w:rsidRDefault="00215395" w:rsidP="00A90235">
      <w:pPr>
        <w:pStyle w:val="NoteLevel1"/>
        <w:rPr>
          <w:color w:val="0F243E" w:themeColor="text2" w:themeShade="80"/>
          <w:sz w:val="20"/>
        </w:rPr>
      </w:pPr>
      <w:r>
        <w:rPr>
          <w:noProof/>
          <w:color w:val="0F243E" w:themeColor="text2" w:themeShade="8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0</wp:posOffset>
                </wp:positionV>
                <wp:extent cx="2057400" cy="0"/>
                <wp:effectExtent l="22860" t="28575" r="24765" b="476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0" to="175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" strokecolor="#4a7ebb" strokeweight="3.5pt">
                <v:fill o:detectmouseclick="t"/>
                <v:shadow on="t" opacity="22938f" offset="0"/>
              </v:line>
            </w:pict>
          </mc:Fallback>
        </mc:AlternateContent>
      </w:r>
      <w:r w:rsidR="00D72A4C" w:rsidRPr="00686319">
        <w:rPr>
          <w:color w:val="0F243E" w:themeColor="text2" w:themeShade="80"/>
          <w:sz w:val="20"/>
        </w:rPr>
        <w:t xml:space="preserve">    Narrow</w:t>
      </w:r>
    </w:p>
    <w:p w:rsidR="00FA2EF6" w:rsidRPr="00686319" w:rsidRDefault="000719B5" w:rsidP="00FA2EF6">
      <w:pPr>
        <w:pStyle w:val="NoteLevel1"/>
        <w:rPr>
          <w:color w:val="0F243E" w:themeColor="text2" w:themeShade="80"/>
          <w:sz w:val="20"/>
        </w:rPr>
      </w:pPr>
    </w:p>
    <w:p w:rsidR="00FA2EF6" w:rsidRPr="00686319" w:rsidRDefault="00215395" w:rsidP="00FA2EF6">
      <w:pPr>
        <w:pStyle w:val="NoteLevel1"/>
        <w:rPr>
          <w:color w:val="0F243E" w:themeColor="text2" w:themeShade="80"/>
          <w:sz w:val="20"/>
        </w:rPr>
      </w:pPr>
      <w:r>
        <w:rPr>
          <w:noProof/>
          <w:color w:val="0F243E" w:themeColor="text2" w:themeShade="8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0</wp:posOffset>
                </wp:positionV>
                <wp:extent cx="2057400" cy="0"/>
                <wp:effectExtent l="22860" t="28575" r="24765" b="4762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0" to="175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" strokecolor="#4a7ebb" strokeweight="3.5pt">
                <v:fill o:detectmouseclick="t"/>
                <v:shadow on="t" opacity="22938f" offset="0"/>
              </v:line>
            </w:pict>
          </mc:Fallback>
        </mc:AlternateContent>
      </w:r>
      <w:r w:rsidR="00D72A4C" w:rsidRPr="00686319">
        <w:rPr>
          <w:color w:val="0F243E" w:themeColor="text2" w:themeShade="80"/>
          <w:sz w:val="20"/>
        </w:rPr>
        <w:t xml:space="preserve">   Broaden    </w:t>
      </w:r>
      <w:r w:rsidR="00D72A4C">
        <w:rPr>
          <w:color w:val="0F243E" w:themeColor="text2" w:themeShade="80"/>
          <w:sz w:val="20"/>
        </w:rPr>
        <w:t xml:space="preserve">     </w:t>
      </w:r>
      <w:r w:rsidR="00D72A4C" w:rsidRPr="00686319">
        <w:rPr>
          <w:rFonts w:ascii="Zapf Dingbats" w:hAnsi="Zapf Dingbats"/>
          <w:color w:val="0F243E" w:themeColor="text2" w:themeShade="80"/>
          <w:sz w:val="20"/>
        </w:rPr>
        <w:t>✖</w:t>
      </w:r>
    </w:p>
    <w:p w:rsidR="00FA2EF6" w:rsidRPr="00686319" w:rsidRDefault="000719B5" w:rsidP="00FA2EF6">
      <w:pPr>
        <w:pStyle w:val="NoteLevel1"/>
        <w:rPr>
          <w:color w:val="0F243E" w:themeColor="text2" w:themeShade="80"/>
          <w:sz w:val="20"/>
        </w:rPr>
      </w:pPr>
    </w:p>
    <w:p w:rsidR="00FA2EF6" w:rsidRPr="00686319" w:rsidRDefault="000719B5" w:rsidP="00FA2EF6">
      <w:pPr>
        <w:pStyle w:val="NoteLevel1"/>
        <w:rPr>
          <w:color w:val="0F243E" w:themeColor="text2" w:themeShade="80"/>
          <w:sz w:val="20"/>
        </w:rPr>
      </w:pPr>
    </w:p>
    <w:p w:rsidR="00FA2EF6" w:rsidRPr="00686319" w:rsidRDefault="00D72A4C" w:rsidP="00FA2EF6">
      <w:pPr>
        <w:pStyle w:val="NoteLevel2"/>
        <w:rPr>
          <w:color w:val="0F243E" w:themeColor="text2" w:themeShade="80"/>
          <w:sz w:val="20"/>
        </w:rPr>
      </w:pPr>
      <w:r w:rsidRPr="00686319">
        <w:rPr>
          <w:color w:val="0F243E" w:themeColor="text2" w:themeShade="80"/>
          <w:sz w:val="20"/>
        </w:rPr>
        <w:t>Plyler broadens Yick Wo. Together they expand the are of impermissible actions.</w:t>
      </w:r>
    </w:p>
    <w:p w:rsidR="00FA2EF6" w:rsidRPr="00686319" w:rsidRDefault="000719B5" w:rsidP="00FA2EF6">
      <w:pPr>
        <w:pStyle w:val="NoteLevel1"/>
        <w:rPr>
          <w:color w:val="0F243E" w:themeColor="text2" w:themeShade="80"/>
          <w:sz w:val="20"/>
        </w:rPr>
      </w:pPr>
    </w:p>
    <w:p w:rsidR="00FA2EF6" w:rsidRPr="00686319" w:rsidRDefault="00D72A4C" w:rsidP="00FA2EF6">
      <w:pPr>
        <w:pStyle w:val="NoteLevel1"/>
        <w:rPr>
          <w:color w:val="0F243E" w:themeColor="text2" w:themeShade="80"/>
          <w:sz w:val="20"/>
        </w:rPr>
      </w:pPr>
      <w:r w:rsidRPr="00686319">
        <w:rPr>
          <w:color w:val="0F243E" w:themeColor="text2" w:themeShade="80"/>
          <w:sz w:val="20"/>
        </w:rPr>
        <w:t>Source of Law:</w:t>
      </w:r>
    </w:p>
    <w:p w:rsidR="00FA2EF6" w:rsidRPr="00686319" w:rsidRDefault="00D72A4C" w:rsidP="00FA2EF6">
      <w:pPr>
        <w:pStyle w:val="NoteLevel2"/>
        <w:rPr>
          <w:color w:val="0F243E" w:themeColor="text2" w:themeShade="80"/>
          <w:sz w:val="20"/>
        </w:rPr>
      </w:pPr>
      <w:r w:rsidRPr="00686319">
        <w:rPr>
          <w:color w:val="0F243E" w:themeColor="text2" w:themeShade="80"/>
          <w:sz w:val="20"/>
        </w:rPr>
        <w:t>14</w:t>
      </w:r>
      <w:r w:rsidRPr="00686319">
        <w:rPr>
          <w:color w:val="0F243E" w:themeColor="text2" w:themeShade="80"/>
          <w:sz w:val="20"/>
          <w:vertAlign w:val="superscript"/>
        </w:rPr>
        <w:t>th</w:t>
      </w:r>
      <w:r w:rsidRPr="00686319">
        <w:rPr>
          <w:color w:val="0F243E" w:themeColor="text2" w:themeShade="80"/>
          <w:sz w:val="20"/>
        </w:rPr>
        <w:t xml:space="preserve"> Amendment, Equal Protection Clause</w:t>
      </w:r>
    </w:p>
    <w:p w:rsidR="00C45873" w:rsidRPr="00686319" w:rsidRDefault="00D72A4C" w:rsidP="00FA2EF6">
      <w:pPr>
        <w:pStyle w:val="NoteLevel3"/>
        <w:rPr>
          <w:color w:val="0F243E" w:themeColor="text2" w:themeShade="80"/>
          <w:sz w:val="20"/>
        </w:rPr>
      </w:pPr>
      <w:r w:rsidRPr="00686319">
        <w:rPr>
          <w:color w:val="0F243E" w:themeColor="text2" w:themeShade="80"/>
          <w:sz w:val="20"/>
        </w:rPr>
        <w:t xml:space="preserve">“No state shall…deprive any person of life, liberty, or property, without due process of law; nor deny to </w:t>
      </w:r>
      <w:r w:rsidRPr="00686319">
        <w:rPr>
          <w:i/>
          <w:iCs/>
          <w:color w:val="0F243E" w:themeColor="text2" w:themeShade="80"/>
          <w:sz w:val="20"/>
        </w:rPr>
        <w:t>any person within its jurisdiction</w:t>
      </w:r>
      <w:r w:rsidRPr="00686319">
        <w:rPr>
          <w:color w:val="0F243E" w:themeColor="text2" w:themeShade="80"/>
          <w:sz w:val="20"/>
        </w:rPr>
        <w:t xml:space="preserve"> the equal protection of the laws.”</w:t>
      </w:r>
    </w:p>
    <w:p w:rsidR="00C45873" w:rsidRPr="00686319" w:rsidRDefault="000719B5" w:rsidP="00C45873">
      <w:pPr>
        <w:pStyle w:val="NoteLevel1"/>
        <w:rPr>
          <w:color w:val="0F243E" w:themeColor="text2" w:themeShade="80"/>
          <w:sz w:val="20"/>
        </w:rPr>
      </w:pPr>
    </w:p>
    <w:p w:rsidR="00C45873" w:rsidRPr="00686319" w:rsidRDefault="00D72A4C" w:rsidP="00C45873">
      <w:pPr>
        <w:pStyle w:val="NoteLevel1"/>
        <w:rPr>
          <w:color w:val="0F243E" w:themeColor="text2" w:themeShade="80"/>
          <w:sz w:val="20"/>
        </w:rPr>
      </w:pPr>
      <w:r w:rsidRPr="00686319">
        <w:rPr>
          <w:color w:val="0F243E" w:themeColor="text2" w:themeShade="80"/>
          <w:sz w:val="20"/>
        </w:rPr>
        <w:t>Interpretation Style:</w:t>
      </w:r>
    </w:p>
    <w:p w:rsidR="00B25F6E" w:rsidRPr="00686319" w:rsidRDefault="00D72A4C" w:rsidP="001A777F">
      <w:pPr>
        <w:pStyle w:val="NoteLevel2"/>
        <w:rPr>
          <w:color w:val="0F243E" w:themeColor="text2" w:themeShade="80"/>
          <w:sz w:val="20"/>
        </w:rPr>
      </w:pPr>
      <w:r w:rsidRPr="00686319">
        <w:rPr>
          <w:color w:val="0F243E" w:themeColor="text2" w:themeShade="80"/>
          <w:sz w:val="20"/>
        </w:rPr>
        <w:t>The court interpreted this case using an originalist view of the constitution because they took a very literal interpretation of the 14</w:t>
      </w:r>
      <w:r w:rsidRPr="00686319">
        <w:rPr>
          <w:color w:val="0F243E" w:themeColor="text2" w:themeShade="80"/>
          <w:sz w:val="20"/>
          <w:vertAlign w:val="superscript"/>
        </w:rPr>
        <w:t>th</w:t>
      </w:r>
      <w:r w:rsidRPr="00686319">
        <w:rPr>
          <w:color w:val="0F243E" w:themeColor="text2" w:themeShade="80"/>
          <w:sz w:val="20"/>
        </w:rPr>
        <w:t xml:space="preserve"> amendment with regards to “equal protection of the laws”</w:t>
      </w:r>
    </w:p>
    <w:p w:rsidR="00B25F6E" w:rsidRDefault="00B25F6E" w:rsidP="00F04D8F">
      <w:pPr>
        <w:pStyle w:val="NoteLevel1"/>
        <w:numPr>
          <w:ilvl w:val="0"/>
          <w:numId w:val="0"/>
        </w:numPr>
        <w:sectPr w:rsidR="00B25F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type="lines" w:linePitch="360"/>
        </w:sectPr>
      </w:pPr>
    </w:p>
    <w:p w:rsidR="00B25F6E" w:rsidRDefault="00B25F6E" w:rsidP="00F04D8F">
      <w:pPr>
        <w:pStyle w:val="NoteLevel1"/>
        <w:numPr>
          <w:ilvl w:val="0"/>
          <w:numId w:val="0"/>
        </w:numPr>
        <w:sectPr w:rsidR="00B25F6E">
          <w:headerReference w:type="first" r:id="rId14"/>
          <w:pgSz w:w="12240" w:h="15840"/>
          <w:pgMar w:top="1440" w:right="1440" w:bottom="1440" w:left="1440" w:header="720" w:footer="720" w:gutter="0"/>
          <w:cols w:space="720"/>
          <w:titlePg/>
          <w:docGrid w:type="lines" w:linePitch="360"/>
        </w:sectPr>
      </w:pPr>
    </w:p>
    <w:p w:rsidR="00B25F6E" w:rsidRDefault="00B25F6E" w:rsidP="00F04D8F">
      <w:pPr>
        <w:pStyle w:val="NoteLevel1"/>
        <w:numPr>
          <w:ilvl w:val="0"/>
          <w:numId w:val="0"/>
        </w:numPr>
      </w:pPr>
    </w:p>
    <w:sectPr w:rsidR="00B25F6E" w:rsidSect="00B25F6E">
      <w:headerReference w:type="first" r:id="rId15"/>
      <w:pgSz w:w="12240" w:h="15840"/>
      <w:pgMar w:top="1440" w:right="1440" w:bottom="1440" w:left="1440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9B5" w:rsidRDefault="000719B5" w:rsidP="00E2253A">
      <w:r>
        <w:separator/>
      </w:r>
    </w:p>
  </w:endnote>
  <w:endnote w:type="continuationSeparator" w:id="0">
    <w:p w:rsidR="000719B5" w:rsidRDefault="000719B5" w:rsidP="00E2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Zapf Dingbats">
    <w:altName w:val="Monotype Sorts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395" w:rsidRDefault="002153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395" w:rsidRDefault="002153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395" w:rsidRDefault="002153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9B5" w:rsidRDefault="000719B5" w:rsidP="00E2253A">
      <w:r>
        <w:separator/>
      </w:r>
    </w:p>
  </w:footnote>
  <w:footnote w:type="continuationSeparator" w:id="0">
    <w:p w:rsidR="000719B5" w:rsidRDefault="000719B5" w:rsidP="00E22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395" w:rsidRDefault="002153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395" w:rsidRDefault="002153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BE4" w:rsidRDefault="00D72A4C" w:rsidP="00B25F6E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eastAsia="MS Gothic" w:hAnsi="Verdana"/>
        <w:sz w:val="36"/>
        <w:szCs w:val="36"/>
      </w:rPr>
    </w:pPr>
    <w:r>
      <w:rPr>
        <w:rFonts w:ascii="Verdana" w:eastAsia="MS Gothic" w:hAnsi="Verdana"/>
        <w:sz w:val="36"/>
        <w:szCs w:val="36"/>
      </w:rPr>
      <w:t>Plyler V. Doe</w:t>
    </w:r>
    <w:r>
      <w:rPr>
        <w:rFonts w:ascii="Verdana" w:eastAsia="MS Gothic" w:hAnsi="Verdana"/>
        <w:sz w:val="36"/>
        <w:szCs w:val="36"/>
      </w:rPr>
      <w:tab/>
    </w:r>
    <w:bookmarkStart w:id="0" w:name="_GoBack"/>
    <w:bookmarkEnd w:id="0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BE4" w:rsidRDefault="00D72A4C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eastAsia="MS Gothic" w:hAnsi="Verdana"/>
        <w:sz w:val="36"/>
        <w:szCs w:val="36"/>
      </w:rPr>
    </w:pPr>
    <w:r>
      <w:rPr>
        <w:rFonts w:ascii="Verdana" w:eastAsia="MS Gothic" w:hAnsi="Verdana"/>
        <w:sz w:val="36"/>
        <w:szCs w:val="36"/>
      </w:rPr>
      <w:tab/>
    </w:r>
    <w:r w:rsidR="00E2253A">
      <w:rPr>
        <w:rFonts w:ascii="Verdana" w:eastAsia="MS Gothic" w:hAnsi="Verdana"/>
        <w:sz w:val="36"/>
        <w:szCs w:val="36"/>
      </w:rPr>
      <w:fldChar w:fldCharType="begin"/>
    </w:r>
    <w:r>
      <w:rPr>
        <w:rFonts w:ascii="Verdana" w:eastAsia="MS Gothic" w:hAnsi="Verdana"/>
      </w:rPr>
      <w:instrText xml:space="preserve"> CREATEDATE </w:instrText>
    </w:r>
    <w:r w:rsidR="00E2253A">
      <w:rPr>
        <w:rFonts w:ascii="Verdana" w:eastAsia="MS Gothic" w:hAnsi="Verdana"/>
        <w:sz w:val="36"/>
        <w:szCs w:val="36"/>
      </w:rPr>
      <w:fldChar w:fldCharType="separate"/>
    </w:r>
    <w:r>
      <w:rPr>
        <w:rFonts w:ascii="Verdana" w:eastAsia="MS Gothic" w:hAnsi="Verdana"/>
        <w:noProof/>
      </w:rPr>
      <w:t>9/20/09 2:46 PM</w:t>
    </w:r>
    <w:r w:rsidR="00E2253A">
      <w:rPr>
        <w:rFonts w:ascii="Verdana" w:eastAsia="MS Gothic" w:hAnsi="Verdana"/>
        <w:sz w:val="36"/>
        <w:szCs w:val="36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BE4" w:rsidRDefault="00D72A4C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eastAsia="MS Gothic" w:hAnsi="Verdana"/>
        <w:sz w:val="36"/>
        <w:szCs w:val="36"/>
      </w:rPr>
    </w:pPr>
    <w:r>
      <w:rPr>
        <w:rFonts w:ascii="Verdana" w:eastAsia="MS Gothic" w:hAnsi="Verdana"/>
        <w:sz w:val="36"/>
        <w:szCs w:val="36"/>
      </w:rPr>
      <w:tab/>
    </w:r>
    <w:r w:rsidR="00E2253A">
      <w:rPr>
        <w:rFonts w:ascii="Verdana" w:eastAsia="MS Gothic" w:hAnsi="Verdana"/>
        <w:sz w:val="36"/>
        <w:szCs w:val="36"/>
      </w:rPr>
      <w:fldChar w:fldCharType="begin"/>
    </w:r>
    <w:r>
      <w:rPr>
        <w:rFonts w:ascii="Verdana" w:eastAsia="MS Gothic" w:hAnsi="Verdana"/>
      </w:rPr>
      <w:instrText xml:space="preserve"> CREATEDATE </w:instrText>
    </w:r>
    <w:r w:rsidR="00E2253A">
      <w:rPr>
        <w:rFonts w:ascii="Verdana" w:eastAsia="MS Gothic" w:hAnsi="Verdana"/>
        <w:sz w:val="36"/>
        <w:szCs w:val="36"/>
      </w:rPr>
      <w:fldChar w:fldCharType="separate"/>
    </w:r>
    <w:r>
      <w:rPr>
        <w:rFonts w:ascii="Verdana" w:eastAsia="MS Gothic" w:hAnsi="Verdana"/>
        <w:noProof/>
      </w:rPr>
      <w:t>9/20/09 2:46 PM</w:t>
    </w:r>
    <w:r w:rsidR="00E2253A">
      <w:rPr>
        <w:rFonts w:ascii="Verdana" w:eastAsia="MS Gothic" w:hAnsi="Verdana"/>
        <w:sz w:val="36"/>
        <w:szCs w:val="3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9E0C0C4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oNotUseMarginsForDrawingGridOrigin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WNPasteboard_" w:val="낔㍊짐Ӗ낰㍊즠Ӗ뫰㍊茸ϳ뺐㍊"/>
    <w:docVar w:name="_WNTabType_0" w:val="w:docVa"/>
    <w:docVar w:name="_WNTabType_1" w:val="w:docVa"/>
    <w:docVar w:name="_WNTabType_2" w:val="w:docVa"/>
    <w:docVar w:name="EnableWordNotes" w:val="w:docVa"/>
  </w:docVars>
  <w:rsids>
    <w:rsidRoot w:val="00B25F6E"/>
    <w:rsid w:val="000719B5"/>
    <w:rsid w:val="00215395"/>
    <w:rsid w:val="00B25F6E"/>
    <w:rsid w:val="00D72A4C"/>
    <w:rsid w:val="00E2253A"/>
    <w:rsid w:val="00F500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">
    <w:name w:val="Note Level 1"/>
    <w:basedOn w:val="Normal"/>
    <w:uiPriority w:val="99"/>
    <w:semiHidden/>
    <w:unhideWhenUsed/>
    <w:rsid w:val="00B25F6E"/>
    <w:pPr>
      <w:keepNext/>
      <w:numPr>
        <w:numId w:val="1"/>
      </w:numPr>
      <w:contextualSpacing/>
      <w:outlineLvl w:val="0"/>
    </w:pPr>
    <w:rPr>
      <w:rFonts w:ascii="Verdana" w:eastAsia="MS Gothic" w:hAnsi="Verdana"/>
    </w:rPr>
  </w:style>
  <w:style w:type="paragraph" w:customStyle="1" w:styleId="NoteLevel2">
    <w:name w:val="Note Level 2"/>
    <w:basedOn w:val="Normal"/>
    <w:uiPriority w:val="99"/>
    <w:unhideWhenUsed/>
    <w:rsid w:val="00B25F6E"/>
    <w:pPr>
      <w:keepNext/>
      <w:numPr>
        <w:ilvl w:val="1"/>
        <w:numId w:val="1"/>
      </w:numPr>
      <w:contextualSpacing/>
      <w:outlineLvl w:val="1"/>
    </w:pPr>
    <w:rPr>
      <w:rFonts w:ascii="Verdana" w:eastAsia="MS Gothic" w:hAnsi="Verdana"/>
    </w:rPr>
  </w:style>
  <w:style w:type="paragraph" w:customStyle="1" w:styleId="NoteLevel3">
    <w:name w:val="Note Level 3"/>
    <w:basedOn w:val="Normal"/>
    <w:uiPriority w:val="99"/>
    <w:semiHidden/>
    <w:unhideWhenUsed/>
    <w:rsid w:val="00B25F6E"/>
    <w:pPr>
      <w:keepNext/>
      <w:numPr>
        <w:ilvl w:val="2"/>
        <w:numId w:val="1"/>
      </w:numPr>
      <w:contextualSpacing/>
      <w:outlineLvl w:val="2"/>
    </w:pPr>
    <w:rPr>
      <w:rFonts w:ascii="Verdana" w:eastAsia="MS Gothic" w:hAnsi="Verdana"/>
    </w:rPr>
  </w:style>
  <w:style w:type="paragraph" w:customStyle="1" w:styleId="NoteLevel4">
    <w:name w:val="Note Level 4"/>
    <w:basedOn w:val="Normal"/>
    <w:uiPriority w:val="99"/>
    <w:semiHidden/>
    <w:unhideWhenUsed/>
    <w:rsid w:val="00B25F6E"/>
    <w:pPr>
      <w:keepNext/>
      <w:numPr>
        <w:ilvl w:val="3"/>
        <w:numId w:val="1"/>
      </w:numPr>
      <w:contextualSpacing/>
      <w:outlineLvl w:val="3"/>
    </w:pPr>
    <w:rPr>
      <w:rFonts w:ascii="Verdana" w:eastAsia="MS Gothic" w:hAnsi="Verdana"/>
    </w:rPr>
  </w:style>
  <w:style w:type="paragraph" w:customStyle="1" w:styleId="NoteLevel5">
    <w:name w:val="Note Level 5"/>
    <w:basedOn w:val="Normal"/>
    <w:uiPriority w:val="99"/>
    <w:semiHidden/>
    <w:unhideWhenUsed/>
    <w:rsid w:val="00B25F6E"/>
    <w:pPr>
      <w:keepNext/>
      <w:numPr>
        <w:ilvl w:val="4"/>
        <w:numId w:val="1"/>
      </w:numPr>
      <w:contextualSpacing/>
      <w:outlineLvl w:val="4"/>
    </w:pPr>
    <w:rPr>
      <w:rFonts w:ascii="Verdana" w:eastAsia="MS Gothic" w:hAnsi="Verdana"/>
    </w:rPr>
  </w:style>
  <w:style w:type="paragraph" w:customStyle="1" w:styleId="NoteLevel6">
    <w:name w:val="Note Level 6"/>
    <w:basedOn w:val="Normal"/>
    <w:uiPriority w:val="99"/>
    <w:semiHidden/>
    <w:unhideWhenUsed/>
    <w:rsid w:val="00B25F6E"/>
    <w:pPr>
      <w:keepNext/>
      <w:numPr>
        <w:ilvl w:val="5"/>
        <w:numId w:val="1"/>
      </w:numPr>
      <w:contextualSpacing/>
      <w:outlineLvl w:val="5"/>
    </w:pPr>
    <w:rPr>
      <w:rFonts w:ascii="Verdana" w:eastAsia="MS Gothic" w:hAnsi="Verdana"/>
    </w:rPr>
  </w:style>
  <w:style w:type="paragraph" w:customStyle="1" w:styleId="NoteLevel7">
    <w:name w:val="Note Level 7"/>
    <w:basedOn w:val="Normal"/>
    <w:uiPriority w:val="99"/>
    <w:semiHidden/>
    <w:unhideWhenUsed/>
    <w:rsid w:val="00B25F6E"/>
    <w:pPr>
      <w:keepNext/>
      <w:numPr>
        <w:ilvl w:val="6"/>
        <w:numId w:val="1"/>
      </w:numPr>
      <w:contextualSpacing/>
      <w:outlineLvl w:val="6"/>
    </w:pPr>
    <w:rPr>
      <w:rFonts w:ascii="Verdana" w:eastAsia="MS Gothic" w:hAnsi="Verdana"/>
    </w:rPr>
  </w:style>
  <w:style w:type="paragraph" w:customStyle="1" w:styleId="NoteLevel8">
    <w:name w:val="Note Level 8"/>
    <w:basedOn w:val="Normal"/>
    <w:uiPriority w:val="99"/>
    <w:semiHidden/>
    <w:unhideWhenUsed/>
    <w:rsid w:val="00B25F6E"/>
    <w:pPr>
      <w:keepNext/>
      <w:numPr>
        <w:ilvl w:val="7"/>
        <w:numId w:val="1"/>
      </w:numPr>
      <w:contextualSpacing/>
      <w:outlineLvl w:val="7"/>
    </w:pPr>
    <w:rPr>
      <w:rFonts w:ascii="Verdana" w:eastAsia="MS Gothic" w:hAnsi="Verdana"/>
    </w:rPr>
  </w:style>
  <w:style w:type="paragraph" w:customStyle="1" w:styleId="NoteLevel9">
    <w:name w:val="Note Level 9"/>
    <w:basedOn w:val="Normal"/>
    <w:uiPriority w:val="99"/>
    <w:semiHidden/>
    <w:unhideWhenUsed/>
    <w:rsid w:val="00B25F6E"/>
    <w:pPr>
      <w:keepNext/>
      <w:numPr>
        <w:ilvl w:val="8"/>
        <w:numId w:val="1"/>
      </w:numPr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unhideWhenUsed/>
    <w:rsid w:val="00B25F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F6E"/>
  </w:style>
  <w:style w:type="character" w:styleId="Hyperlink">
    <w:name w:val="Hyperlink"/>
    <w:basedOn w:val="DefaultParagraphFont"/>
    <w:uiPriority w:val="99"/>
    <w:semiHidden/>
    <w:unhideWhenUsed/>
    <w:rsid w:val="001A777F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153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3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">
    <w:name w:val="Note Level 1"/>
    <w:basedOn w:val="Normal"/>
    <w:uiPriority w:val="99"/>
    <w:semiHidden/>
    <w:unhideWhenUsed/>
    <w:rsid w:val="00B25F6E"/>
    <w:pPr>
      <w:keepNext/>
      <w:numPr>
        <w:numId w:val="1"/>
      </w:numPr>
      <w:contextualSpacing/>
      <w:outlineLvl w:val="0"/>
    </w:pPr>
    <w:rPr>
      <w:rFonts w:ascii="Verdana" w:eastAsia="MS Gothic" w:hAnsi="Verdana"/>
    </w:rPr>
  </w:style>
  <w:style w:type="paragraph" w:customStyle="1" w:styleId="NoteLevel2">
    <w:name w:val="Note Level 2"/>
    <w:basedOn w:val="Normal"/>
    <w:uiPriority w:val="99"/>
    <w:unhideWhenUsed/>
    <w:rsid w:val="00B25F6E"/>
    <w:pPr>
      <w:keepNext/>
      <w:numPr>
        <w:ilvl w:val="1"/>
        <w:numId w:val="1"/>
      </w:numPr>
      <w:contextualSpacing/>
      <w:outlineLvl w:val="1"/>
    </w:pPr>
    <w:rPr>
      <w:rFonts w:ascii="Verdana" w:eastAsia="MS Gothic" w:hAnsi="Verdana"/>
    </w:rPr>
  </w:style>
  <w:style w:type="paragraph" w:customStyle="1" w:styleId="NoteLevel3">
    <w:name w:val="Note Level 3"/>
    <w:basedOn w:val="Normal"/>
    <w:uiPriority w:val="99"/>
    <w:semiHidden/>
    <w:unhideWhenUsed/>
    <w:rsid w:val="00B25F6E"/>
    <w:pPr>
      <w:keepNext/>
      <w:numPr>
        <w:ilvl w:val="2"/>
        <w:numId w:val="1"/>
      </w:numPr>
      <w:contextualSpacing/>
      <w:outlineLvl w:val="2"/>
    </w:pPr>
    <w:rPr>
      <w:rFonts w:ascii="Verdana" w:eastAsia="MS Gothic" w:hAnsi="Verdana"/>
    </w:rPr>
  </w:style>
  <w:style w:type="paragraph" w:customStyle="1" w:styleId="NoteLevel4">
    <w:name w:val="Note Level 4"/>
    <w:basedOn w:val="Normal"/>
    <w:uiPriority w:val="99"/>
    <w:semiHidden/>
    <w:unhideWhenUsed/>
    <w:rsid w:val="00B25F6E"/>
    <w:pPr>
      <w:keepNext/>
      <w:numPr>
        <w:ilvl w:val="3"/>
        <w:numId w:val="1"/>
      </w:numPr>
      <w:contextualSpacing/>
      <w:outlineLvl w:val="3"/>
    </w:pPr>
    <w:rPr>
      <w:rFonts w:ascii="Verdana" w:eastAsia="MS Gothic" w:hAnsi="Verdana"/>
    </w:rPr>
  </w:style>
  <w:style w:type="paragraph" w:customStyle="1" w:styleId="NoteLevel5">
    <w:name w:val="Note Level 5"/>
    <w:basedOn w:val="Normal"/>
    <w:uiPriority w:val="99"/>
    <w:semiHidden/>
    <w:unhideWhenUsed/>
    <w:rsid w:val="00B25F6E"/>
    <w:pPr>
      <w:keepNext/>
      <w:numPr>
        <w:ilvl w:val="4"/>
        <w:numId w:val="1"/>
      </w:numPr>
      <w:contextualSpacing/>
      <w:outlineLvl w:val="4"/>
    </w:pPr>
    <w:rPr>
      <w:rFonts w:ascii="Verdana" w:eastAsia="MS Gothic" w:hAnsi="Verdana"/>
    </w:rPr>
  </w:style>
  <w:style w:type="paragraph" w:customStyle="1" w:styleId="NoteLevel6">
    <w:name w:val="Note Level 6"/>
    <w:basedOn w:val="Normal"/>
    <w:uiPriority w:val="99"/>
    <w:semiHidden/>
    <w:unhideWhenUsed/>
    <w:rsid w:val="00B25F6E"/>
    <w:pPr>
      <w:keepNext/>
      <w:numPr>
        <w:ilvl w:val="5"/>
        <w:numId w:val="1"/>
      </w:numPr>
      <w:contextualSpacing/>
      <w:outlineLvl w:val="5"/>
    </w:pPr>
    <w:rPr>
      <w:rFonts w:ascii="Verdana" w:eastAsia="MS Gothic" w:hAnsi="Verdana"/>
    </w:rPr>
  </w:style>
  <w:style w:type="paragraph" w:customStyle="1" w:styleId="NoteLevel7">
    <w:name w:val="Note Level 7"/>
    <w:basedOn w:val="Normal"/>
    <w:uiPriority w:val="99"/>
    <w:semiHidden/>
    <w:unhideWhenUsed/>
    <w:rsid w:val="00B25F6E"/>
    <w:pPr>
      <w:keepNext/>
      <w:numPr>
        <w:ilvl w:val="6"/>
        <w:numId w:val="1"/>
      </w:numPr>
      <w:contextualSpacing/>
      <w:outlineLvl w:val="6"/>
    </w:pPr>
    <w:rPr>
      <w:rFonts w:ascii="Verdana" w:eastAsia="MS Gothic" w:hAnsi="Verdana"/>
    </w:rPr>
  </w:style>
  <w:style w:type="paragraph" w:customStyle="1" w:styleId="NoteLevel8">
    <w:name w:val="Note Level 8"/>
    <w:basedOn w:val="Normal"/>
    <w:uiPriority w:val="99"/>
    <w:semiHidden/>
    <w:unhideWhenUsed/>
    <w:rsid w:val="00B25F6E"/>
    <w:pPr>
      <w:keepNext/>
      <w:numPr>
        <w:ilvl w:val="7"/>
        <w:numId w:val="1"/>
      </w:numPr>
      <w:contextualSpacing/>
      <w:outlineLvl w:val="7"/>
    </w:pPr>
    <w:rPr>
      <w:rFonts w:ascii="Verdana" w:eastAsia="MS Gothic" w:hAnsi="Verdana"/>
    </w:rPr>
  </w:style>
  <w:style w:type="paragraph" w:customStyle="1" w:styleId="NoteLevel9">
    <w:name w:val="Note Level 9"/>
    <w:basedOn w:val="Normal"/>
    <w:uiPriority w:val="99"/>
    <w:semiHidden/>
    <w:unhideWhenUsed/>
    <w:rsid w:val="00B25F6E"/>
    <w:pPr>
      <w:keepNext/>
      <w:numPr>
        <w:ilvl w:val="8"/>
        <w:numId w:val="1"/>
      </w:numPr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unhideWhenUsed/>
    <w:rsid w:val="00B25F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F6E"/>
  </w:style>
  <w:style w:type="character" w:styleId="Hyperlink">
    <w:name w:val="Hyperlink"/>
    <w:basedOn w:val="DefaultParagraphFont"/>
    <w:uiPriority w:val="99"/>
    <w:semiHidden/>
    <w:unhideWhenUsed/>
    <w:rsid w:val="001A777F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153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Mock</dc:creator>
  <cp:lastModifiedBy>Alan</cp:lastModifiedBy>
  <cp:revision>2</cp:revision>
  <cp:lastPrinted>2009-09-23T19:25:00Z</cp:lastPrinted>
  <dcterms:created xsi:type="dcterms:W3CDTF">2013-10-22T04:05:00Z</dcterms:created>
  <dcterms:modified xsi:type="dcterms:W3CDTF">2013-10-22T04:05:00Z</dcterms:modified>
</cp:coreProperties>
</file>