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BEE" w:rsidRPr="00ED5BEE" w:rsidRDefault="00ED5BEE" w:rsidP="00ED5B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D5BEE">
        <w:rPr>
          <w:rFonts w:ascii="Times New Roman" w:eastAsia="Times New Roman" w:hAnsi="Times New Roman" w:cs="Times New Roman"/>
          <w:b/>
          <w:bCs/>
          <w:kern w:val="36"/>
          <w:sz w:val="48"/>
          <w:szCs w:val="48"/>
        </w:rPr>
        <w:t xml:space="preserve">Yick Wo v. Hopkins </w:t>
      </w:r>
      <w:r w:rsidRPr="00ED5BEE">
        <w:rPr>
          <w:rFonts w:ascii="Times New Roman" w:eastAsia="Times New Roman" w:hAnsi="Times New Roman" w:cs="Times New Roman"/>
          <w:b/>
          <w:bCs/>
          <w:kern w:val="36"/>
          <w:sz w:val="48"/>
          <w:szCs w:val="48"/>
        </w:rPr>
        <w:br/>
        <w:t>118 U.S. 356 (1886)</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b/>
          <w:bCs/>
          <w:szCs w:val="24"/>
        </w:rPr>
        <w:t>Decided May 10, 1886</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b/>
          <w:bCs/>
          <w:szCs w:val="24"/>
        </w:rPr>
        <w:t>118 U.S. 356</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i/>
          <w:iCs/>
          <w:szCs w:val="24"/>
        </w:rPr>
        <w:t xml:space="preserve">APPEAL FROM THE CIRCUIT COURT OF THE UNITED STATES </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i/>
          <w:iCs/>
          <w:szCs w:val="24"/>
        </w:rPr>
        <w:t xml:space="preserve">FOR THE DISTRICT OF CALIFORNIA </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szCs w:val="24"/>
        </w:rPr>
        <w:t>Mr. JUSTICE MATTHEWS delivered the opinion of the court.</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szCs w:val="24"/>
        </w:rPr>
        <w:t>In the case of the petitioner, brought here by writ of error to the Supreme Court of California, our jurisdiction is limited to the question whether the plaintiff in error has been denied a right in violation of the Constitution, laws, or treaties of the United States. The question whether his imprisonment is illegal under the constitution and lass of the State is not open to us. And although that question might have been considered in the Circuit Court in the application made to it, and by this court on appeal from its order, yet judicial propriety is best consulted by accepting the judgment of the State court upon the points involved in that inquiry.</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szCs w:val="24"/>
        </w:rPr>
        <w:t>That, however, does not preclude this court from putting upon the ordinances of the supervisors of the county and city of San Francisco an independent construction, for the determination of the question whether the proceedings under these ordinances and in enforcement of them are in conflict with the Constitution and laws of the United States necessarily involves the meaning of the ordinance, which, for that purpose, we are required to ascertain and adjudge.</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szCs w:val="24"/>
        </w:rPr>
        <w:t xml:space="preserve">We are consequently constrained, at the outset, to differ from the Supreme Court of California upon the real meaning of the ordinances in question. That court considered these ordinances as vesting in the board of supervisors a not unusual discretion in granting or withholding their assent to the use of wooden buildings as laundries, to be exercised in reference to the circumstances of each case with a view to the protection of the public against the dangers of fire. We are not able to concur in that interpretation of the power conferred upon the supervisors. There is nothing in the ordinances which points to such a regulation of the business of keeping and conducting laundries. They seem intended to confer, and actually do confer, not a discretion to be exercised upon a consideration of the circumstances of each case, but a naked and arbitrary power to give or withhold consent not only as to places, but as to persons. So that, if an applicant for such consent, being in every way a competent and qualified person and having complied with every reasonable condition demanded by any public interest, should, failing to obtain the requisite consent of the supervisors to the prosecution of his business, apply for redress by the judicial process of mandamus to require the supervisors to consider and act upon his case, it would be a sufficient answer for them to say that the law had conferred upon them authority to withhold their assent without reason and without responsibility. The power given to them is not confided to their discretion in the legal sense of that term, but is granted </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szCs w:val="24"/>
        </w:rPr>
        <w:lastRenderedPageBreak/>
        <w:t>to their mere will. It is purely arbitrary, and acknowledges neither guidance nor restraint.</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szCs w:val="24"/>
        </w:rPr>
        <w:t xml:space="preserve">This erroneous view of the ordinances in question led the Supreme Court of California into the further error of holding that they were justified by the decisions of this court in the cases of </w:t>
      </w:r>
      <w:r w:rsidRPr="00ED5BEE">
        <w:rPr>
          <w:rFonts w:ascii="Times New Roman" w:eastAsia="Times New Roman" w:hAnsi="Times New Roman" w:cs="Times New Roman"/>
          <w:i/>
          <w:iCs/>
          <w:szCs w:val="24"/>
        </w:rPr>
        <w:t>Barbier v. Connolly,</w:t>
      </w:r>
      <w:r w:rsidRPr="00ED5BEE">
        <w:rPr>
          <w:rFonts w:ascii="Times New Roman" w:eastAsia="Times New Roman" w:hAnsi="Times New Roman" w:cs="Times New Roman"/>
          <w:szCs w:val="24"/>
        </w:rPr>
        <w:t xml:space="preserve"> </w:t>
      </w:r>
      <w:hyperlink r:id="rId7" w:history="1">
        <w:r w:rsidRPr="00ED5BEE">
          <w:rPr>
            <w:rFonts w:ascii="Times New Roman" w:eastAsia="Times New Roman" w:hAnsi="Times New Roman" w:cs="Times New Roman"/>
            <w:color w:val="0000FF"/>
            <w:szCs w:val="24"/>
            <w:u w:val="single"/>
          </w:rPr>
          <w:t>113 U. S. 27</w:t>
        </w:r>
      </w:hyperlink>
      <w:r w:rsidRPr="00ED5BEE">
        <w:rPr>
          <w:rFonts w:ascii="Times New Roman" w:eastAsia="Times New Roman" w:hAnsi="Times New Roman" w:cs="Times New Roman"/>
          <w:szCs w:val="24"/>
        </w:rPr>
        <w:t xml:space="preserve">, and </w:t>
      </w:r>
      <w:r w:rsidRPr="00ED5BEE">
        <w:rPr>
          <w:rFonts w:ascii="Times New Roman" w:eastAsia="Times New Roman" w:hAnsi="Times New Roman" w:cs="Times New Roman"/>
          <w:i/>
          <w:iCs/>
          <w:szCs w:val="24"/>
        </w:rPr>
        <w:t>Soon Hing v. Crowley,</w:t>
      </w:r>
      <w:r w:rsidRPr="00ED5BEE">
        <w:rPr>
          <w:rFonts w:ascii="Times New Roman" w:eastAsia="Times New Roman" w:hAnsi="Times New Roman" w:cs="Times New Roman"/>
          <w:szCs w:val="24"/>
        </w:rPr>
        <w:t xml:space="preserve"> </w:t>
      </w:r>
      <w:hyperlink r:id="rId8" w:history="1">
        <w:r w:rsidRPr="00ED5BEE">
          <w:rPr>
            <w:rFonts w:ascii="Times New Roman" w:eastAsia="Times New Roman" w:hAnsi="Times New Roman" w:cs="Times New Roman"/>
            <w:color w:val="0000FF"/>
            <w:szCs w:val="24"/>
            <w:u w:val="single"/>
          </w:rPr>
          <w:t>113 U. S. 703</w:t>
        </w:r>
      </w:hyperlink>
      <w:r w:rsidRPr="00ED5BEE">
        <w:rPr>
          <w:rFonts w:ascii="Times New Roman" w:eastAsia="Times New Roman" w:hAnsi="Times New Roman" w:cs="Times New Roman"/>
          <w:szCs w:val="24"/>
        </w:rPr>
        <w:t>. In both of these cases, the ordinance involved was simply a prohibition to carry on the washing and ironing of clothes in public laundries and washhouses within certain prescribed limits of the city and county of San Francisco from ten o'clock at night until six o'clock in the morning of the following day. This provision was held to be purely a police regulation within the competency of any municipality possessed of the ordinary powers belonging to such bodies, a necessary measure of precaution in a city composed largely of wooden buildings like San Francisco, in the application of which there was no invidious discrimination against anyone within the prescribed limits, all persons engaged in the same business being treated alike, and subject to the same restrictions and entitled to the same privileges under similar conditions.</w:t>
      </w:r>
    </w:p>
    <w:p w:rsidR="00ED5BEE" w:rsidRPr="00ED5BEE" w:rsidRDefault="00ED5BEE" w:rsidP="00E81955">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szCs w:val="24"/>
        </w:rPr>
        <w:t>For these reasons, that ordinance was adjudged not to be within the prohibitions of the Fourteenth Amendment to the Constitution of the United States</w:t>
      </w:r>
      <w:r w:rsidR="00E81955">
        <w:rPr>
          <w:rFonts w:ascii="Times New Roman" w:eastAsia="Times New Roman" w:hAnsi="Times New Roman" w:cs="Times New Roman"/>
          <w:szCs w:val="24"/>
        </w:rPr>
        <w:t xml:space="preserve">. . . </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szCs w:val="24"/>
        </w:rPr>
        <w:t>The ordinance drawn in question in the present case is of a very different character. It does not prescribe a rule and conditions for the regulation of the use of property for laundry purposes to which all similarly situated may conform. It allows without restriction the use for such purposes of buildings of brick or stone, but, as to wooden buildings, constituting nearly all those in previous use, it divides the owners or occupiers into two classes, not having respect to their personal character and qualifications for the business, nor the situation and nature and adaptation of the buildings themselves, but merely by an arbitrary line, on one side of which are those who are permitted to pursue their industry by the mere will and consent of the supervisors, and on the other those from whom that consent is withheld at their mere will and pleasure. And both classes are alike only in this, that they are tenants at will, under the supervisors, of their means of living. The ordinance, therefore, also differs from the not unusual case where discretion is lodged by law in public officers or bodies to grant or withhold licenses to keep taverns, or places for the sale of spirituous liquors, and the like, when one of the conditions is that the applicant shall be a fit person for the exercise of the privilege, because, in such cases, the fact of fitness is submitted to the judgment of the officer, and calls for the exercise of a discretion of a judicial nature.</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szCs w:val="24"/>
        </w:rPr>
        <w:t>The rights of the petitioners, as affected by the proceedings of which they complain, are not less because they are aliens and subjects of the Emperor of China. By the third article of the treaty between this Government and that of China, concluded November 17, 1880, 22 Stat. 827, it is stipulated:</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szCs w:val="24"/>
        </w:rPr>
        <w:t>"If Chinese laborers, or Chinese of any other class, now either permanently or temporarily residing in the territory of the United States, meet with ill treatment at the hands of any other persons, the Government of the United States will exert all its powers to devise measures for their protection, and to secure to them the same rights, privileges, immunities and exemptions as may be enjoyed by the citizens or subjects of the most favored nation, and to which they are entitled by treaty."</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szCs w:val="24"/>
        </w:rPr>
        <w:lastRenderedPageBreak/>
        <w:t>The Fourteenth Amendment to the Constitution is not confined to the protection of citizens. It says:</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szCs w:val="24"/>
        </w:rPr>
        <w:t>"Nor shall any State deprive any person of life, liberty, or property without due process of law; nor deny to any person within its jurisdiction the equal protection of the laws."</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szCs w:val="24"/>
        </w:rPr>
        <w:t>These provisions are universal in their application to all persons within the territorial jurisdiction, without regard to any differences of race, of color, or of nationality, and the equal protection of the laws is a pledge of the protection of equal laws. It is accordingly enacted by § 1977 of the Revised Statutes, that</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szCs w:val="24"/>
        </w:rPr>
        <w:t>"all persons within the jurisdiction of the United States shall have the same right in every State and Territory to make and enforce contracts, to sue, be parties, give evidence, and to the full and equal benefit of all laws and proceedings for the security of persons and property as is enjoyed by white citizens and shall be subject to like punishment, pains, penalties, taxes, licenses, and exactions of every kind, and to no other."</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szCs w:val="24"/>
        </w:rPr>
        <w:t>The questions we have to consider and decide in these cases, therefore, are to be treated as invoking the rights of every citizen of the United States equally with those of the strangers and aliens who now invoke the jurisdiction of the court.</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szCs w:val="24"/>
        </w:rPr>
        <w:t>It is contended on the part of the petitioners that the ordinances for violations of which they are severally sentenced to imprisonment are void on their face as being within the prohibitions of the Fourteenth Amendment, and, in the alternative, if not so, that they are void by reason of their administration, operating unequally so as to punish in the present petitioners what is permitted to others as lawful, without any distinction of circumstances -- an unjust and illegal discrimination, it is claimed, which, though not made expressly by the ordinances, is made possible by them.</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szCs w:val="24"/>
        </w:rPr>
        <w:t xml:space="preserve">When we consider the nature and the theory of our institutions of government, the principles upon which they are supposed to rest, and review the history of their development, we are constrained to conclude that they do not mean to leave room for the play and action of purely personal and arbitrary power. Sovereignty itself is, of course, not subject to law, for it is the author and source of law; but, in our system, while sovereign powers are delegated to the agencies of government, sovereignty itself remains with the people, by whom and for whom all government exists and acts. And the law is the definition and limitation of power. It is, indeed, quite true that there must always be lodged somewhere, and in some person or body, the authority of final decision, and in many cases of mere administration, the responsibility is purely political, no appeal lying except to the ultimate tribunal of the public judgment, exercised either in the pressure of opinion or by means of the suffrage. But the fundamental rights to life, liberty, and the pursuit of happiness, considered as individual possessions, are secured by those maxims of constitutional law which are the monuments showing the victorious progress of the race in securing to men the blessings of civilization under the reign of just and equal laws, so that, in the famous language of the Massachusetts Bill of Rights, the government of the commonwealth "may be a government of laws, and not of men." For the very idea that one man may be compelled to hold his life, or the means of living, or any material right essential to the enjoyment </w:t>
      </w:r>
      <w:r w:rsidRPr="00ED5BEE">
        <w:rPr>
          <w:rFonts w:ascii="Times New Roman" w:eastAsia="Times New Roman" w:hAnsi="Times New Roman" w:cs="Times New Roman"/>
          <w:szCs w:val="24"/>
        </w:rPr>
        <w:lastRenderedPageBreak/>
        <w:t>of life at the mere will of another seems to be intolerable in any country where freedom prevails, as being the essence of slavery itself.</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szCs w:val="24"/>
        </w:rPr>
        <w:t>There are many illustrations that might be given of this truth, which would make manifest that it was self-evident in the light of our system of jurisprudence. The case of the political franchise of voting is one. Though not regarded strictly as a natural right, but as a privilege merely conceded by society according to its will under certain conditions, nevertheless it is regarded as a fundamental political right, because preservative of all rights.</w:t>
      </w:r>
      <w:r w:rsidR="00E81955">
        <w:rPr>
          <w:rFonts w:ascii="Times New Roman" w:eastAsia="Times New Roman" w:hAnsi="Times New Roman" w:cs="Times New Roman"/>
          <w:szCs w:val="24"/>
        </w:rPr>
        <w:t>, ,</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szCs w:val="24"/>
        </w:rPr>
        <w:t xml:space="preserve">It has accordingly been held generally in the States that, whether the particular provisions of an act of legislation establishing means for ascertaining the qualifications of those entitled to vote, and making previous registration in lists of such, a condition precedent to the exercise of the right were or were not reasonable regulations, and accordingly valid or void, was always open to inquiry as a judicial question. </w:t>
      </w:r>
      <w:r w:rsidRPr="00ED5BEE">
        <w:rPr>
          <w:rFonts w:ascii="Times New Roman" w:eastAsia="Times New Roman" w:hAnsi="Times New Roman" w:cs="Times New Roman"/>
          <w:i/>
          <w:iCs/>
          <w:szCs w:val="24"/>
        </w:rPr>
        <w:t>See Daggett v. Hudson,</w:t>
      </w:r>
      <w:r w:rsidRPr="00ED5BEE">
        <w:rPr>
          <w:rFonts w:ascii="Times New Roman" w:eastAsia="Times New Roman" w:hAnsi="Times New Roman" w:cs="Times New Roman"/>
          <w:szCs w:val="24"/>
        </w:rPr>
        <w:t xml:space="preserve"> 1 Western Reporter 9, decided by the Supreme Court of Ohio, where many of the cases are collected; </w:t>
      </w:r>
      <w:r w:rsidRPr="00ED5BEE">
        <w:rPr>
          <w:rFonts w:ascii="Times New Roman" w:eastAsia="Times New Roman" w:hAnsi="Times New Roman" w:cs="Times New Roman"/>
          <w:i/>
          <w:iCs/>
          <w:szCs w:val="24"/>
        </w:rPr>
        <w:t>Monroe v. Collins,</w:t>
      </w:r>
      <w:r w:rsidRPr="00ED5BEE">
        <w:rPr>
          <w:rFonts w:ascii="Times New Roman" w:eastAsia="Times New Roman" w:hAnsi="Times New Roman" w:cs="Times New Roman"/>
          <w:szCs w:val="24"/>
        </w:rPr>
        <w:t xml:space="preserve"> 17 Ohio St. 665.</w:t>
      </w:r>
      <w:r w:rsidR="00E81955">
        <w:rPr>
          <w:rFonts w:ascii="Times New Roman" w:eastAsia="Times New Roman" w:hAnsi="Times New Roman" w:cs="Times New Roman"/>
          <w:szCs w:val="24"/>
        </w:rPr>
        <w:t xml:space="preserve">. . </w:t>
      </w:r>
      <w:bookmarkStart w:id="0" w:name="_GoBack"/>
      <w:bookmarkEnd w:id="0"/>
    </w:p>
    <w:p w:rsidR="00ED5BEE" w:rsidRPr="00ED5BEE" w:rsidRDefault="00E81955" w:rsidP="00ED5BE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.(Past cases)..</w:t>
      </w:r>
      <w:r w:rsidR="00ED5BEE" w:rsidRPr="00ED5BEE">
        <w:rPr>
          <w:rFonts w:ascii="Times New Roman" w:eastAsia="Times New Roman" w:hAnsi="Times New Roman" w:cs="Times New Roman"/>
          <w:szCs w:val="24"/>
        </w:rPr>
        <w:t xml:space="preserve"> present the ordinances in actual operation, and the facts shown establish an administration directed so exclusively against a particular class of persons as to warrant and require the conclusion that, whatever may have been the intent of the ordinances as adopted, they are applied by the public authorities charged with their administration, and thus representing the State itself, with a mind so unequal and oppressive as to amount to a practical denial by the State of that equal protection of the laws which is secured to the petitioners, as to all other persons, by the broad and benign provisions of the Fourteenth Amendment to the Constitution of the United States. Though the law itself be fair on its face and impartial in appearance, yet, if it is applied and administered by public authority with an evil eye and an unequal hand, so as practically to make unjust and illegal discriminations between persons in similar circumstances, material to their rights, the denial of equal justice is still within the prohibition of the Constitution. This principle of interpretation has been sanctioned by this court in </w:t>
      </w:r>
      <w:r w:rsidR="00ED5BEE" w:rsidRPr="00ED5BEE">
        <w:rPr>
          <w:rFonts w:ascii="Times New Roman" w:eastAsia="Times New Roman" w:hAnsi="Times New Roman" w:cs="Times New Roman"/>
          <w:i/>
          <w:iCs/>
          <w:szCs w:val="24"/>
        </w:rPr>
        <w:t>Henderson v. Mayor of New York,</w:t>
      </w:r>
      <w:r w:rsidR="00ED5BEE" w:rsidRPr="00ED5BEE">
        <w:rPr>
          <w:rFonts w:ascii="Times New Roman" w:eastAsia="Times New Roman" w:hAnsi="Times New Roman" w:cs="Times New Roman"/>
          <w:szCs w:val="24"/>
        </w:rPr>
        <w:t xml:space="preserve"> </w:t>
      </w:r>
      <w:hyperlink r:id="rId9" w:history="1">
        <w:r w:rsidR="00ED5BEE" w:rsidRPr="00ED5BEE">
          <w:rPr>
            <w:rFonts w:ascii="Times New Roman" w:eastAsia="Times New Roman" w:hAnsi="Times New Roman" w:cs="Times New Roman"/>
            <w:color w:val="0000FF"/>
            <w:szCs w:val="24"/>
            <w:u w:val="single"/>
          </w:rPr>
          <w:t>92 U. S. 259</w:t>
        </w:r>
      </w:hyperlink>
      <w:r w:rsidR="00ED5BEE" w:rsidRPr="00ED5BEE">
        <w:rPr>
          <w:rFonts w:ascii="Times New Roman" w:eastAsia="Times New Roman" w:hAnsi="Times New Roman" w:cs="Times New Roman"/>
          <w:szCs w:val="24"/>
        </w:rPr>
        <w:t xml:space="preserve">; </w:t>
      </w:r>
      <w:r w:rsidR="00ED5BEE" w:rsidRPr="00ED5BEE">
        <w:rPr>
          <w:rFonts w:ascii="Times New Roman" w:eastAsia="Times New Roman" w:hAnsi="Times New Roman" w:cs="Times New Roman"/>
          <w:i/>
          <w:iCs/>
          <w:szCs w:val="24"/>
        </w:rPr>
        <w:t>Chy Lung v. Freeman,</w:t>
      </w:r>
      <w:r w:rsidR="00ED5BEE" w:rsidRPr="00ED5BEE">
        <w:rPr>
          <w:rFonts w:ascii="Times New Roman" w:eastAsia="Times New Roman" w:hAnsi="Times New Roman" w:cs="Times New Roman"/>
          <w:szCs w:val="24"/>
        </w:rPr>
        <w:t xml:space="preserve"> </w:t>
      </w:r>
      <w:hyperlink r:id="rId10" w:history="1">
        <w:r w:rsidR="00ED5BEE" w:rsidRPr="00ED5BEE">
          <w:rPr>
            <w:rFonts w:ascii="Times New Roman" w:eastAsia="Times New Roman" w:hAnsi="Times New Roman" w:cs="Times New Roman"/>
            <w:color w:val="0000FF"/>
            <w:szCs w:val="24"/>
            <w:u w:val="single"/>
          </w:rPr>
          <w:t>92 U. S. 275</w:t>
        </w:r>
      </w:hyperlink>
      <w:r w:rsidR="00ED5BEE" w:rsidRPr="00ED5BEE">
        <w:rPr>
          <w:rFonts w:ascii="Times New Roman" w:eastAsia="Times New Roman" w:hAnsi="Times New Roman" w:cs="Times New Roman"/>
          <w:szCs w:val="24"/>
        </w:rPr>
        <w:t xml:space="preserve">; </w:t>
      </w:r>
      <w:r w:rsidR="00ED5BEE" w:rsidRPr="00ED5BEE">
        <w:rPr>
          <w:rFonts w:ascii="Times New Roman" w:eastAsia="Times New Roman" w:hAnsi="Times New Roman" w:cs="Times New Roman"/>
          <w:i/>
          <w:iCs/>
          <w:szCs w:val="24"/>
        </w:rPr>
        <w:t>Ex parte Virginia,</w:t>
      </w:r>
      <w:r w:rsidR="00ED5BEE" w:rsidRPr="00ED5BEE">
        <w:rPr>
          <w:rFonts w:ascii="Times New Roman" w:eastAsia="Times New Roman" w:hAnsi="Times New Roman" w:cs="Times New Roman"/>
          <w:szCs w:val="24"/>
        </w:rPr>
        <w:t xml:space="preserve"> </w:t>
      </w:r>
      <w:hyperlink r:id="rId11" w:history="1">
        <w:r w:rsidR="00ED5BEE" w:rsidRPr="00ED5BEE">
          <w:rPr>
            <w:rFonts w:ascii="Times New Roman" w:eastAsia="Times New Roman" w:hAnsi="Times New Roman" w:cs="Times New Roman"/>
            <w:color w:val="0000FF"/>
            <w:szCs w:val="24"/>
            <w:u w:val="single"/>
          </w:rPr>
          <w:t>100 U. S. 339</w:t>
        </w:r>
      </w:hyperlink>
      <w:r w:rsidR="00ED5BEE" w:rsidRPr="00ED5BEE">
        <w:rPr>
          <w:rFonts w:ascii="Times New Roman" w:eastAsia="Times New Roman" w:hAnsi="Times New Roman" w:cs="Times New Roman"/>
          <w:szCs w:val="24"/>
        </w:rPr>
        <w:t xml:space="preserve">; </w:t>
      </w:r>
      <w:r w:rsidR="00ED5BEE" w:rsidRPr="00ED5BEE">
        <w:rPr>
          <w:rFonts w:ascii="Times New Roman" w:eastAsia="Times New Roman" w:hAnsi="Times New Roman" w:cs="Times New Roman"/>
          <w:i/>
          <w:iCs/>
          <w:szCs w:val="24"/>
        </w:rPr>
        <w:t>Neal v. Delaware,</w:t>
      </w:r>
      <w:r w:rsidR="00ED5BEE" w:rsidRPr="00ED5BEE">
        <w:rPr>
          <w:rFonts w:ascii="Times New Roman" w:eastAsia="Times New Roman" w:hAnsi="Times New Roman" w:cs="Times New Roman"/>
          <w:szCs w:val="24"/>
        </w:rPr>
        <w:t xml:space="preserve"> </w:t>
      </w:r>
      <w:hyperlink r:id="rId12" w:history="1">
        <w:r w:rsidR="00ED5BEE" w:rsidRPr="00ED5BEE">
          <w:rPr>
            <w:rFonts w:ascii="Times New Roman" w:eastAsia="Times New Roman" w:hAnsi="Times New Roman" w:cs="Times New Roman"/>
            <w:color w:val="0000FF"/>
            <w:szCs w:val="24"/>
            <w:u w:val="single"/>
          </w:rPr>
          <w:t>103 U. S. 370</w:t>
        </w:r>
      </w:hyperlink>
      <w:r w:rsidR="00ED5BEE" w:rsidRPr="00ED5BEE">
        <w:rPr>
          <w:rFonts w:ascii="Times New Roman" w:eastAsia="Times New Roman" w:hAnsi="Times New Roman" w:cs="Times New Roman"/>
          <w:szCs w:val="24"/>
        </w:rPr>
        <w:t>, and S</w:t>
      </w:r>
      <w:r w:rsidR="00ED5BEE" w:rsidRPr="00ED5BEE">
        <w:rPr>
          <w:rFonts w:ascii="Times New Roman" w:eastAsia="Times New Roman" w:hAnsi="Times New Roman" w:cs="Times New Roman"/>
          <w:i/>
          <w:iCs/>
          <w:szCs w:val="24"/>
        </w:rPr>
        <w:t>Soon Hing v. Crowley,</w:t>
      </w:r>
      <w:r w:rsidR="00ED5BEE" w:rsidRPr="00ED5BEE">
        <w:rPr>
          <w:rFonts w:ascii="Times New Roman" w:eastAsia="Times New Roman" w:hAnsi="Times New Roman" w:cs="Times New Roman"/>
          <w:szCs w:val="24"/>
        </w:rPr>
        <w:t xml:space="preserve"> </w:t>
      </w:r>
      <w:hyperlink r:id="rId13" w:history="1">
        <w:r w:rsidR="00ED5BEE" w:rsidRPr="00ED5BEE">
          <w:rPr>
            <w:rFonts w:ascii="Times New Roman" w:eastAsia="Times New Roman" w:hAnsi="Times New Roman" w:cs="Times New Roman"/>
            <w:color w:val="0000FF"/>
            <w:szCs w:val="24"/>
            <w:u w:val="single"/>
          </w:rPr>
          <w:t>113 U. S. 703</w:t>
        </w:r>
      </w:hyperlink>
      <w:r w:rsidR="00ED5BEE" w:rsidRPr="00ED5BEE">
        <w:rPr>
          <w:rFonts w:ascii="Times New Roman" w:eastAsia="Times New Roman" w:hAnsi="Times New Roman" w:cs="Times New Roman"/>
          <w:szCs w:val="24"/>
        </w:rPr>
        <w:t>.</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szCs w:val="24"/>
        </w:rPr>
        <w:t xml:space="preserve">The present cases, as shown by the facts disclosed in the record, are within this class. It appears that both petitioners have complied with every requisite deemed by the law or by the public officers charged with its administration necessary for the protection of neighboring property from fire or as a precaution against injury to the public health. No reason whatever, except the will of the supervisors, is assigned why they should not be permitted to carry on, in the accustomed manner, their harmless and useful occupation, on which they depend for a livelihood. And while this consent of the supervisors is withheld from them and from two hundred others who have also petitioned, all of whom happen to be Chinese subjects, eighty others, not Chinese subjects, are permitted to carry on the same business under similar conditions. The fact of this discrimination is admitted. No reason for it is shown, and the conclusion cannot be resisted that no reason for it exists except hostility to the race and nationality to which the petitioners belong, and which, in the eye of the law, is not justified. The discrimination is, therefore, illegal, and the public administration which enforces it is a denial of the equal protection of the laws and a violation of the Fourteenth Amendment of the </w:t>
      </w:r>
      <w:r w:rsidRPr="00ED5BEE">
        <w:rPr>
          <w:rFonts w:ascii="Times New Roman" w:eastAsia="Times New Roman" w:hAnsi="Times New Roman" w:cs="Times New Roman"/>
          <w:szCs w:val="24"/>
        </w:rPr>
        <w:lastRenderedPageBreak/>
        <w:t>Constitution. The imprisonment of the petitioners is, therefore, illegal, and they must be discharged. To this end,</w:t>
      </w:r>
    </w:p>
    <w:p w:rsidR="00ED5BEE" w:rsidRPr="00ED5BEE" w:rsidRDefault="00ED5BEE" w:rsidP="00ED5BEE">
      <w:pPr>
        <w:spacing w:before="100" w:beforeAutospacing="1" w:after="100" w:afterAutospacing="1" w:line="240" w:lineRule="auto"/>
        <w:rPr>
          <w:rFonts w:ascii="Times New Roman" w:eastAsia="Times New Roman" w:hAnsi="Times New Roman" w:cs="Times New Roman"/>
          <w:szCs w:val="24"/>
        </w:rPr>
      </w:pPr>
      <w:r w:rsidRPr="00ED5BEE">
        <w:rPr>
          <w:rFonts w:ascii="Times New Roman" w:eastAsia="Times New Roman" w:hAnsi="Times New Roman" w:cs="Times New Roman"/>
          <w:i/>
          <w:iCs/>
          <w:szCs w:val="24"/>
        </w:rPr>
        <w:t>The judgment of the Supreme Court of California in the case of Yick Wo, and that of the Circuit Court of the United States for the District of California in the case of Wo Lee, are severally reversed, and the cases remanded, each to the proper court, with directions to discharge the petitioners from custody and imprisonment.</w:t>
      </w:r>
    </w:p>
    <w:p w:rsidR="009748D0" w:rsidRDefault="009748D0"/>
    <w:sectPr w:rsidR="009748D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49C" w:rsidRDefault="00FD649C" w:rsidP="00ED5BEE">
      <w:pPr>
        <w:spacing w:after="0" w:line="240" w:lineRule="auto"/>
      </w:pPr>
      <w:r>
        <w:separator/>
      </w:r>
    </w:p>
  </w:endnote>
  <w:endnote w:type="continuationSeparator" w:id="0">
    <w:p w:rsidR="00FD649C" w:rsidRDefault="00FD649C" w:rsidP="00ED5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921550"/>
      <w:docPartObj>
        <w:docPartGallery w:val="Page Numbers (Bottom of Page)"/>
        <w:docPartUnique/>
      </w:docPartObj>
    </w:sdtPr>
    <w:sdtEndPr>
      <w:rPr>
        <w:noProof/>
      </w:rPr>
    </w:sdtEndPr>
    <w:sdtContent>
      <w:p w:rsidR="00ED5BEE" w:rsidRDefault="00ED5BEE">
        <w:pPr>
          <w:pStyle w:val="Footer"/>
          <w:jc w:val="center"/>
        </w:pPr>
        <w:r>
          <w:fldChar w:fldCharType="begin"/>
        </w:r>
        <w:r>
          <w:instrText xml:space="preserve"> PAGE   \* MERGEFORMAT </w:instrText>
        </w:r>
        <w:r>
          <w:fldChar w:fldCharType="separate"/>
        </w:r>
        <w:r w:rsidR="00E81955">
          <w:rPr>
            <w:noProof/>
          </w:rPr>
          <w:t>4</w:t>
        </w:r>
        <w:r>
          <w:rPr>
            <w:noProof/>
          </w:rPr>
          <w:fldChar w:fldCharType="end"/>
        </w:r>
      </w:p>
    </w:sdtContent>
  </w:sdt>
  <w:p w:rsidR="00ED5BEE" w:rsidRDefault="00ED5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49C" w:rsidRDefault="00FD649C" w:rsidP="00ED5BEE">
      <w:pPr>
        <w:spacing w:after="0" w:line="240" w:lineRule="auto"/>
      </w:pPr>
      <w:r>
        <w:separator/>
      </w:r>
    </w:p>
  </w:footnote>
  <w:footnote w:type="continuationSeparator" w:id="0">
    <w:p w:rsidR="00FD649C" w:rsidRDefault="00FD649C" w:rsidP="00ED5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17A1B"/>
    <w:multiLevelType w:val="multilevel"/>
    <w:tmpl w:val="6512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EE"/>
    <w:rsid w:val="007200AE"/>
    <w:rsid w:val="007F1D71"/>
    <w:rsid w:val="009748D0"/>
    <w:rsid w:val="00E81955"/>
    <w:rsid w:val="00ED5BEE"/>
    <w:rsid w:val="00FD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D03A"/>
  <w15:chartTrackingRefBased/>
  <w15:docId w15:val="{282B91B4-BD41-427C-9420-A2FF2402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7F1D71"/>
    <w:rPr>
      <w:rFonts w:ascii="Arial" w:hAnsi="Arial"/>
      <w:sz w:val="24"/>
    </w:rPr>
  </w:style>
  <w:style w:type="paragraph" w:styleId="Heading1">
    <w:name w:val="heading 1"/>
    <w:basedOn w:val="Normal"/>
    <w:link w:val="Heading1Char"/>
    <w:uiPriority w:val="9"/>
    <w:qFormat/>
    <w:rsid w:val="00ED5B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D5B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D5B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D71"/>
    <w:pPr>
      <w:spacing w:after="0" w:line="240" w:lineRule="auto"/>
    </w:pPr>
    <w:rPr>
      <w:rFonts w:ascii="Arial" w:hAnsi="Arial"/>
      <w:sz w:val="24"/>
    </w:rPr>
  </w:style>
  <w:style w:type="character" w:customStyle="1" w:styleId="Heading1Char">
    <w:name w:val="Heading 1 Char"/>
    <w:basedOn w:val="DefaultParagraphFont"/>
    <w:link w:val="Heading1"/>
    <w:uiPriority w:val="9"/>
    <w:rsid w:val="00ED5B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D5BE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D5BEE"/>
    <w:rPr>
      <w:rFonts w:ascii="Times New Roman" w:eastAsia="Times New Roman" w:hAnsi="Times New Roman" w:cs="Times New Roman"/>
      <w:b/>
      <w:bCs/>
      <w:sz w:val="27"/>
      <w:szCs w:val="27"/>
    </w:rPr>
  </w:style>
  <w:style w:type="character" w:customStyle="1" w:styleId="col--one-fourth">
    <w:name w:val="col--one-fourth"/>
    <w:basedOn w:val="DefaultParagraphFont"/>
    <w:rsid w:val="00ED5BEE"/>
  </w:style>
  <w:style w:type="character" w:styleId="Hyperlink">
    <w:name w:val="Hyperlink"/>
    <w:basedOn w:val="DefaultParagraphFont"/>
    <w:uiPriority w:val="99"/>
    <w:semiHidden/>
    <w:unhideWhenUsed/>
    <w:rsid w:val="00ED5BEE"/>
    <w:rPr>
      <w:color w:val="0000FF"/>
      <w:u w:val="single"/>
    </w:rPr>
  </w:style>
  <w:style w:type="paragraph" w:styleId="NormalWeb">
    <w:name w:val="Normal (Web)"/>
    <w:basedOn w:val="Normal"/>
    <w:uiPriority w:val="99"/>
    <w:semiHidden/>
    <w:unhideWhenUsed/>
    <w:rsid w:val="00ED5BEE"/>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ED5BEE"/>
    <w:rPr>
      <w:i/>
      <w:iCs/>
    </w:rPr>
  </w:style>
  <w:style w:type="character" w:customStyle="1" w:styleId="l-leftover">
    <w:name w:val="l-leftover"/>
    <w:basedOn w:val="DefaultParagraphFont"/>
    <w:rsid w:val="00ED5BEE"/>
  </w:style>
  <w:style w:type="character" w:customStyle="1" w:styleId="l-italics">
    <w:name w:val="l-italics"/>
    <w:basedOn w:val="DefaultParagraphFont"/>
    <w:rsid w:val="00ED5BEE"/>
  </w:style>
  <w:style w:type="character" w:customStyle="1" w:styleId="l-normaldigitafter">
    <w:name w:val="l-normaldigitafter"/>
    <w:basedOn w:val="DefaultParagraphFont"/>
    <w:rsid w:val="00ED5BEE"/>
  </w:style>
  <w:style w:type="paragraph" w:styleId="Header">
    <w:name w:val="header"/>
    <w:basedOn w:val="Normal"/>
    <w:link w:val="HeaderChar"/>
    <w:uiPriority w:val="99"/>
    <w:unhideWhenUsed/>
    <w:rsid w:val="00ED5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BEE"/>
    <w:rPr>
      <w:rFonts w:ascii="Arial" w:hAnsi="Arial"/>
      <w:sz w:val="24"/>
    </w:rPr>
  </w:style>
  <w:style w:type="paragraph" w:styleId="Footer">
    <w:name w:val="footer"/>
    <w:basedOn w:val="Normal"/>
    <w:link w:val="FooterChar"/>
    <w:uiPriority w:val="99"/>
    <w:unhideWhenUsed/>
    <w:rsid w:val="00ED5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BE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498662">
      <w:bodyDiv w:val="1"/>
      <w:marLeft w:val="0"/>
      <w:marRight w:val="0"/>
      <w:marTop w:val="0"/>
      <w:marBottom w:val="0"/>
      <w:divBdr>
        <w:top w:val="none" w:sz="0" w:space="0" w:color="auto"/>
        <w:left w:val="none" w:sz="0" w:space="0" w:color="auto"/>
        <w:bottom w:val="none" w:sz="0" w:space="0" w:color="auto"/>
        <w:right w:val="none" w:sz="0" w:space="0" w:color="auto"/>
      </w:divBdr>
      <w:divsChild>
        <w:div w:id="1541013962">
          <w:marLeft w:val="0"/>
          <w:marRight w:val="0"/>
          <w:marTop w:val="0"/>
          <w:marBottom w:val="0"/>
          <w:divBdr>
            <w:top w:val="none" w:sz="0" w:space="0" w:color="auto"/>
            <w:left w:val="none" w:sz="0" w:space="0" w:color="auto"/>
            <w:bottom w:val="none" w:sz="0" w:space="0" w:color="auto"/>
            <w:right w:val="none" w:sz="0" w:space="0" w:color="auto"/>
          </w:divBdr>
          <w:divsChild>
            <w:div w:id="1040084885">
              <w:marLeft w:val="0"/>
              <w:marRight w:val="0"/>
              <w:marTop w:val="0"/>
              <w:marBottom w:val="0"/>
              <w:divBdr>
                <w:top w:val="none" w:sz="0" w:space="0" w:color="auto"/>
                <w:left w:val="none" w:sz="0" w:space="0" w:color="auto"/>
                <w:bottom w:val="none" w:sz="0" w:space="0" w:color="auto"/>
                <w:right w:val="none" w:sz="0" w:space="0" w:color="auto"/>
              </w:divBdr>
            </w:div>
            <w:div w:id="207106808">
              <w:marLeft w:val="0"/>
              <w:marRight w:val="0"/>
              <w:marTop w:val="0"/>
              <w:marBottom w:val="0"/>
              <w:divBdr>
                <w:top w:val="none" w:sz="0" w:space="0" w:color="auto"/>
                <w:left w:val="none" w:sz="0" w:space="0" w:color="auto"/>
                <w:bottom w:val="none" w:sz="0" w:space="0" w:color="auto"/>
                <w:right w:val="none" w:sz="0" w:space="0" w:color="auto"/>
              </w:divBdr>
              <w:divsChild>
                <w:div w:id="11126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reme.justia.com/cases/federal/us/113/703/case.html" TargetMode="External"/><Relationship Id="rId13" Type="http://schemas.openxmlformats.org/officeDocument/2006/relationships/hyperlink" Target="https://supreme.justia.com/cases/federal/us/113/703/case.html" TargetMode="External"/><Relationship Id="rId3" Type="http://schemas.openxmlformats.org/officeDocument/2006/relationships/settings" Target="settings.xml"/><Relationship Id="rId7" Type="http://schemas.openxmlformats.org/officeDocument/2006/relationships/hyperlink" Target="https://supreme.justia.com/cases/federal/us/113/27/case.html" TargetMode="External"/><Relationship Id="rId12" Type="http://schemas.openxmlformats.org/officeDocument/2006/relationships/hyperlink" Target="https://supreme.justia.com/cases/federal/us/103/370/cas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reme.justia.com/cases/federal/us/100/339/case.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upreme.justia.com/cases/federal/us/92/275/case.html" TargetMode="External"/><Relationship Id="rId4" Type="http://schemas.openxmlformats.org/officeDocument/2006/relationships/webSettings" Target="webSettings.xml"/><Relationship Id="rId9" Type="http://schemas.openxmlformats.org/officeDocument/2006/relationships/hyperlink" Target="https://supreme.justia.com/cases/federal/us/92/259/case.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1</cp:revision>
  <dcterms:created xsi:type="dcterms:W3CDTF">2017-09-04T01:46:00Z</dcterms:created>
  <dcterms:modified xsi:type="dcterms:W3CDTF">2017-09-04T02:06:00Z</dcterms:modified>
</cp:coreProperties>
</file>