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7408" w14:textId="77777777" w:rsidR="003A161A" w:rsidRDefault="00D734A1">
      <w:pPr>
        <w:spacing w:before="455" w:line="288" w:lineRule="exact"/>
        <w:jc w:val="center"/>
        <w:textAlignment w:val="baseline"/>
        <w:rPr>
          <w:rFonts w:eastAsia="Times New Roman"/>
          <w:b/>
          <w:color w:val="000000"/>
          <w:spacing w:val="-3"/>
          <w:sz w:val="25"/>
          <w:u w:val="single"/>
        </w:rPr>
      </w:pPr>
      <w:r>
        <w:rPr>
          <w:rFonts w:eastAsia="Times New Roman"/>
          <w:b/>
          <w:color w:val="000000"/>
          <w:spacing w:val="-3"/>
          <w:sz w:val="25"/>
          <w:u w:val="single"/>
        </w:rPr>
        <w:t xml:space="preserve">McDonald v City of Chicago </w:t>
      </w:r>
    </w:p>
    <w:p w14:paraId="0D53237D" w14:textId="77777777" w:rsidR="003A161A" w:rsidRDefault="00D734A1">
      <w:pPr>
        <w:spacing w:before="30" w:line="564" w:lineRule="exact"/>
        <w:ind w:right="72"/>
        <w:textAlignment w:val="baseline"/>
        <w:rPr>
          <w:rFonts w:eastAsia="Times New Roman"/>
          <w:b/>
          <w:color w:val="000000"/>
          <w:sz w:val="25"/>
        </w:rPr>
      </w:pPr>
      <w:r>
        <w:rPr>
          <w:rFonts w:eastAsia="Times New Roman"/>
          <w:b/>
          <w:color w:val="000000"/>
          <w:sz w:val="25"/>
        </w:rPr>
        <w:t xml:space="preserve">Facts: </w:t>
      </w:r>
      <w:r>
        <w:rPr>
          <w:rFonts w:eastAsia="Times New Roman"/>
          <w:color w:val="000000"/>
          <w:sz w:val="25"/>
        </w:rPr>
        <w:t xml:space="preserve">The city of Chicago and the village of Oak Park, a suburb, passed laws that pretty much banned possession of a handgun by all private citizens. The Supreme Court ruled in </w:t>
      </w:r>
      <w:r>
        <w:rPr>
          <w:rFonts w:eastAsia="Times New Roman"/>
          <w:i/>
          <w:color w:val="000000"/>
          <w:sz w:val="25"/>
        </w:rPr>
        <w:t xml:space="preserve">D.C. v. Heller </w:t>
      </w:r>
      <w:r>
        <w:rPr>
          <w:rFonts w:eastAsia="Times New Roman"/>
          <w:color w:val="000000"/>
          <w:sz w:val="25"/>
        </w:rPr>
        <w:t xml:space="preserve">back in 2008, that a private citizen has a </w:t>
      </w:r>
      <w:r>
        <w:rPr>
          <w:rFonts w:ascii="Arial" w:eastAsia="Arial" w:hAnsi="Arial"/>
          <w:b/>
          <w:color w:val="000000"/>
          <w:sz w:val="18"/>
        </w:rPr>
        <w:t>2</w:t>
      </w:r>
      <w:r>
        <w:rPr>
          <w:rFonts w:ascii="Arial" w:eastAsia="Arial" w:hAnsi="Arial"/>
          <w:b/>
          <w:color w:val="000000"/>
          <w:sz w:val="18"/>
          <w:vertAlign w:val="superscript"/>
        </w:rPr>
        <w:t>n</w:t>
      </w:r>
      <w:r>
        <w:rPr>
          <w:rFonts w:ascii="Arial" w:eastAsia="Arial" w:hAnsi="Arial"/>
          <w:b/>
          <w:color w:val="000000"/>
          <w:sz w:val="18"/>
        </w:rPr>
        <w:t xml:space="preserve">d </w:t>
      </w:r>
      <w:r>
        <w:rPr>
          <w:rFonts w:eastAsia="Times New Roman"/>
          <w:color w:val="000000"/>
          <w:sz w:val="25"/>
        </w:rPr>
        <w:t xml:space="preserve">Amendment right to keep and bare arms in their homes for the purpose of self-defense. Otis McDonald and several other residents of Chicago filed a suit against the ban. They asked the Court to rule that the bans were in violation of their rights listed in the </w:t>
      </w:r>
      <w:r>
        <w:rPr>
          <w:rFonts w:ascii="Arial" w:eastAsia="Arial" w:hAnsi="Arial"/>
          <w:b/>
          <w:color w:val="000000"/>
          <w:sz w:val="18"/>
        </w:rPr>
        <w:t xml:space="preserve">2nd </w:t>
      </w:r>
      <w:r>
        <w:rPr>
          <w:rFonts w:eastAsia="Times New Roman"/>
          <w:color w:val="000000"/>
          <w:sz w:val="25"/>
        </w:rPr>
        <w:t>and 14th Amendments.</w:t>
      </w:r>
    </w:p>
    <w:p w14:paraId="498517F3" w14:textId="77777777" w:rsidR="003A161A" w:rsidRDefault="00D734A1">
      <w:pPr>
        <w:spacing w:before="32" w:line="564" w:lineRule="exact"/>
        <w:textAlignment w:val="baseline"/>
        <w:rPr>
          <w:rFonts w:eastAsia="Times New Roman"/>
          <w:b/>
          <w:color w:val="000000"/>
          <w:sz w:val="25"/>
        </w:rPr>
      </w:pPr>
      <w:r>
        <w:rPr>
          <w:rFonts w:eastAsia="Times New Roman"/>
          <w:b/>
          <w:color w:val="000000"/>
          <w:sz w:val="25"/>
        </w:rPr>
        <w:t xml:space="preserve">Procedural History: </w:t>
      </w:r>
      <w:r>
        <w:rPr>
          <w:rFonts w:eastAsia="Times New Roman"/>
          <w:color w:val="000000"/>
          <w:sz w:val="25"/>
        </w:rPr>
        <w:t xml:space="preserve">A lower trial court ruled in favor of the City of Chicago. This decision was appealed to the 7th Circuit Court of Appeals combined with a similar case, </w:t>
      </w:r>
      <w:r>
        <w:rPr>
          <w:rFonts w:eastAsia="Times New Roman"/>
          <w:i/>
          <w:color w:val="000000"/>
          <w:sz w:val="25"/>
        </w:rPr>
        <w:t xml:space="preserve">NRA v. Chicago. </w:t>
      </w:r>
      <w:r>
        <w:rPr>
          <w:rFonts w:eastAsia="Times New Roman"/>
          <w:color w:val="000000"/>
          <w:sz w:val="25"/>
        </w:rPr>
        <w:t xml:space="preserve">The </w:t>
      </w:r>
      <w:r>
        <w:rPr>
          <w:rFonts w:ascii="Arial" w:eastAsia="Arial" w:hAnsi="Arial"/>
          <w:b/>
          <w:color w:val="000000"/>
          <w:sz w:val="18"/>
        </w:rPr>
        <w:t xml:space="preserve">7th </w:t>
      </w:r>
      <w:r>
        <w:rPr>
          <w:rFonts w:eastAsia="Times New Roman"/>
          <w:color w:val="000000"/>
          <w:sz w:val="25"/>
        </w:rPr>
        <w:t xml:space="preserve">Circuit upheld the lower courts ruling and the bans. The reasoning behind the ruling was that only the Supreme Court could incorporate the </w:t>
      </w:r>
      <w:r>
        <w:rPr>
          <w:rFonts w:ascii="Arial" w:eastAsia="Arial" w:hAnsi="Arial"/>
          <w:b/>
          <w:color w:val="000000"/>
          <w:sz w:val="18"/>
        </w:rPr>
        <w:t xml:space="preserve">2nd </w:t>
      </w:r>
      <w:r>
        <w:rPr>
          <w:rFonts w:eastAsia="Times New Roman"/>
          <w:color w:val="000000"/>
          <w:sz w:val="25"/>
        </w:rPr>
        <w:t>Amendment against the states. The case was granted certioari by the Supreme Court in September 2009. The court heard the case in March of 2010, and was decided that June.</w:t>
      </w:r>
    </w:p>
    <w:p w14:paraId="11F49F32" w14:textId="77777777" w:rsidR="003A161A" w:rsidRDefault="00D734A1">
      <w:pPr>
        <w:spacing w:before="274" w:line="288" w:lineRule="exact"/>
        <w:textAlignment w:val="baseline"/>
        <w:rPr>
          <w:rFonts w:eastAsia="Times New Roman"/>
          <w:b/>
          <w:color w:val="000000"/>
          <w:spacing w:val="1"/>
          <w:sz w:val="25"/>
        </w:rPr>
      </w:pPr>
      <w:r>
        <w:rPr>
          <w:rFonts w:eastAsia="Times New Roman"/>
          <w:b/>
          <w:color w:val="000000"/>
          <w:spacing w:val="1"/>
          <w:sz w:val="25"/>
        </w:rPr>
        <w:t>Arguments:</w:t>
      </w:r>
    </w:p>
    <w:p w14:paraId="708BF370" w14:textId="77777777" w:rsidR="003A161A" w:rsidRDefault="00D734A1">
      <w:pPr>
        <w:spacing w:before="279" w:line="288" w:lineRule="exact"/>
        <w:ind w:left="360"/>
        <w:textAlignment w:val="baseline"/>
        <w:rPr>
          <w:rFonts w:eastAsia="Times New Roman"/>
          <w:b/>
          <w:color w:val="000000"/>
          <w:spacing w:val="-1"/>
          <w:sz w:val="25"/>
        </w:rPr>
      </w:pPr>
      <w:r>
        <w:rPr>
          <w:rFonts w:eastAsia="Times New Roman"/>
          <w:b/>
          <w:color w:val="000000"/>
          <w:spacing w:val="-1"/>
          <w:sz w:val="25"/>
        </w:rPr>
        <w:t>McDonald-</w:t>
      </w:r>
    </w:p>
    <w:p w14:paraId="44070B52" w14:textId="77777777" w:rsidR="003A161A" w:rsidRDefault="00D734A1">
      <w:pPr>
        <w:numPr>
          <w:ilvl w:val="0"/>
          <w:numId w:val="1"/>
        </w:numPr>
        <w:tabs>
          <w:tab w:val="clear" w:pos="216"/>
          <w:tab w:val="left" w:pos="576"/>
        </w:tabs>
        <w:spacing w:before="295" w:line="287" w:lineRule="exact"/>
        <w:ind w:left="360"/>
        <w:textAlignment w:val="baseline"/>
        <w:rPr>
          <w:rFonts w:eastAsia="Times New Roman"/>
          <w:color w:val="000000"/>
          <w:spacing w:val="3"/>
          <w:sz w:val="25"/>
        </w:rPr>
      </w:pPr>
      <w:r>
        <w:rPr>
          <w:rFonts w:eastAsia="Times New Roman"/>
          <w:color w:val="000000"/>
          <w:spacing w:val="3"/>
          <w:sz w:val="25"/>
        </w:rPr>
        <w:t>The right to keep and bear arms is among the privileges or immunities of</w:t>
      </w:r>
    </w:p>
    <w:p w14:paraId="5D4A178A" w14:textId="77777777" w:rsidR="003A161A" w:rsidRDefault="00D734A1">
      <w:pPr>
        <w:spacing w:before="279" w:line="286" w:lineRule="exact"/>
        <w:ind w:left="360"/>
        <w:textAlignment w:val="baseline"/>
        <w:rPr>
          <w:rFonts w:eastAsia="Times New Roman"/>
          <w:color w:val="000000"/>
          <w:spacing w:val="1"/>
          <w:sz w:val="25"/>
        </w:rPr>
      </w:pPr>
      <w:r>
        <w:rPr>
          <w:rFonts w:eastAsia="Times New Roman"/>
          <w:color w:val="000000"/>
          <w:spacing w:val="1"/>
          <w:sz w:val="25"/>
        </w:rPr>
        <w:t>American Citizenship that states may not abridge.</w:t>
      </w:r>
    </w:p>
    <w:p w14:paraId="7E75DF4C" w14:textId="77777777" w:rsidR="003A161A" w:rsidRDefault="00D734A1">
      <w:pPr>
        <w:numPr>
          <w:ilvl w:val="0"/>
          <w:numId w:val="1"/>
        </w:numPr>
        <w:tabs>
          <w:tab w:val="clear" w:pos="216"/>
          <w:tab w:val="left" w:pos="576"/>
        </w:tabs>
        <w:spacing w:before="21" w:line="549" w:lineRule="exact"/>
        <w:ind w:left="360" w:right="648"/>
        <w:jc w:val="both"/>
        <w:textAlignment w:val="baseline"/>
        <w:rPr>
          <w:rFonts w:eastAsia="Times New Roman"/>
          <w:color w:val="000000"/>
          <w:sz w:val="25"/>
        </w:rPr>
      </w:pPr>
      <w:r>
        <w:rPr>
          <w:rFonts w:eastAsia="Times New Roman"/>
          <w:color w:val="000000"/>
          <w:sz w:val="25"/>
        </w:rPr>
        <w:t>The Slaughterhouse Cases, Cruikshank, and Presser were incorrectly ruled and should be overturned.</w:t>
      </w:r>
    </w:p>
    <w:p w14:paraId="0B046278" w14:textId="77777777" w:rsidR="003A161A" w:rsidRDefault="00D734A1">
      <w:pPr>
        <w:numPr>
          <w:ilvl w:val="0"/>
          <w:numId w:val="1"/>
        </w:numPr>
        <w:tabs>
          <w:tab w:val="clear" w:pos="216"/>
          <w:tab w:val="left" w:pos="576"/>
        </w:tabs>
        <w:spacing w:before="29" w:line="552" w:lineRule="exact"/>
        <w:ind w:left="360" w:right="648"/>
        <w:jc w:val="both"/>
        <w:textAlignment w:val="baseline"/>
        <w:rPr>
          <w:rFonts w:eastAsia="Times New Roman"/>
          <w:color w:val="000000"/>
          <w:sz w:val="25"/>
        </w:rPr>
      </w:pPr>
      <w:r>
        <w:rPr>
          <w:rFonts w:eastAsia="Times New Roman"/>
          <w:color w:val="000000"/>
          <w:sz w:val="25"/>
        </w:rPr>
        <w:t>The 2nd Amendment right to keep and bare arms is incorporated as against the states by the 14th Amendments due process clause.</w:t>
      </w:r>
    </w:p>
    <w:p w14:paraId="424252CF" w14:textId="77777777" w:rsidR="003A161A" w:rsidRDefault="00D734A1">
      <w:pPr>
        <w:spacing w:before="267" w:line="288" w:lineRule="exact"/>
        <w:ind w:left="360"/>
        <w:textAlignment w:val="baseline"/>
        <w:rPr>
          <w:rFonts w:eastAsia="Times New Roman"/>
          <w:b/>
          <w:color w:val="000000"/>
          <w:spacing w:val="-4"/>
          <w:sz w:val="25"/>
        </w:rPr>
      </w:pPr>
      <w:r>
        <w:rPr>
          <w:rFonts w:eastAsia="Times New Roman"/>
          <w:b/>
          <w:color w:val="000000"/>
          <w:spacing w:val="-4"/>
          <w:sz w:val="25"/>
        </w:rPr>
        <w:t>City of Chicago-</w:t>
      </w:r>
    </w:p>
    <w:p w14:paraId="056FB867" w14:textId="77777777" w:rsidR="003A161A" w:rsidRDefault="003A161A">
      <w:pPr>
        <w:sectPr w:rsidR="003A161A">
          <w:pgSz w:w="12206" w:h="15869"/>
          <w:pgMar w:top="160" w:right="1497" w:bottom="1773" w:left="1349" w:header="720" w:footer="720" w:gutter="0"/>
          <w:cols w:space="720"/>
        </w:sectPr>
      </w:pPr>
    </w:p>
    <w:p w14:paraId="2A01FBCB" w14:textId="77777777" w:rsidR="003A161A" w:rsidRDefault="00D734A1">
      <w:pPr>
        <w:spacing w:before="18" w:line="563" w:lineRule="exact"/>
        <w:ind w:left="360" w:right="648"/>
        <w:textAlignment w:val="baseline"/>
        <w:rPr>
          <w:rFonts w:eastAsia="Times New Roman"/>
          <w:b/>
          <w:color w:val="000000"/>
          <w:sz w:val="24"/>
        </w:rPr>
      </w:pPr>
      <w:r>
        <w:rPr>
          <w:rFonts w:eastAsia="Times New Roman"/>
          <w:b/>
          <w:color w:val="000000"/>
          <w:sz w:val="24"/>
        </w:rPr>
        <w:lastRenderedPageBreak/>
        <w:t xml:space="preserve">1. The Due Process clause does not incorporate the </w:t>
      </w:r>
      <w:r>
        <w:rPr>
          <w:rFonts w:ascii="Arial" w:eastAsia="Arial" w:hAnsi="Arial"/>
          <w:b/>
          <w:color w:val="000000"/>
          <w:sz w:val="20"/>
        </w:rPr>
        <w:t xml:space="preserve">2nd </w:t>
      </w:r>
      <w:r>
        <w:rPr>
          <w:rFonts w:eastAsia="Times New Roman"/>
          <w:b/>
          <w:color w:val="000000"/>
          <w:sz w:val="24"/>
        </w:rPr>
        <w:t>Amendment right to keep and bare arms.</w:t>
      </w:r>
    </w:p>
    <w:p w14:paraId="29257350" w14:textId="77777777" w:rsidR="003A161A" w:rsidRDefault="00D734A1">
      <w:pPr>
        <w:spacing w:before="16" w:line="563" w:lineRule="exact"/>
        <w:ind w:left="360" w:right="288"/>
        <w:jc w:val="both"/>
        <w:textAlignment w:val="baseline"/>
        <w:rPr>
          <w:rFonts w:eastAsia="Times New Roman"/>
          <w:b/>
          <w:color w:val="000000"/>
          <w:sz w:val="24"/>
        </w:rPr>
      </w:pPr>
      <w:r>
        <w:rPr>
          <w:rFonts w:eastAsia="Times New Roman"/>
          <w:b/>
          <w:color w:val="000000"/>
          <w:sz w:val="24"/>
        </w:rPr>
        <w:t>2.The Court should adhere to precedent rejecting incorporation under the Privileges or Immunities Clause.</w:t>
      </w:r>
    </w:p>
    <w:p w14:paraId="1CC5925D" w14:textId="77777777" w:rsidR="003A161A" w:rsidRDefault="00D734A1">
      <w:pPr>
        <w:spacing w:before="4" w:line="563" w:lineRule="exact"/>
        <w:ind w:left="360" w:right="936"/>
        <w:textAlignment w:val="baseline"/>
        <w:rPr>
          <w:rFonts w:eastAsia="Times New Roman"/>
          <w:b/>
          <w:color w:val="000000"/>
          <w:sz w:val="24"/>
        </w:rPr>
      </w:pPr>
      <w:r>
        <w:rPr>
          <w:rFonts w:eastAsia="Times New Roman"/>
          <w:b/>
          <w:color w:val="000000"/>
          <w:sz w:val="24"/>
        </w:rPr>
        <w:t>3. If the clause cannot be incorporated to the states, then it is within the police power to regulate how the states see fit.</w:t>
      </w:r>
    </w:p>
    <w:p w14:paraId="628CCC81" w14:textId="77777777" w:rsidR="003A161A" w:rsidRDefault="00D734A1">
      <w:pPr>
        <w:spacing w:before="14" w:line="563" w:lineRule="exact"/>
        <w:ind w:right="216"/>
        <w:textAlignment w:val="baseline"/>
        <w:rPr>
          <w:rFonts w:eastAsia="Times New Roman"/>
          <w:b/>
          <w:color w:val="000000"/>
          <w:sz w:val="24"/>
        </w:rPr>
      </w:pPr>
      <w:r>
        <w:rPr>
          <w:rFonts w:eastAsia="Times New Roman"/>
          <w:b/>
          <w:color w:val="000000"/>
          <w:sz w:val="24"/>
        </w:rPr>
        <w:t xml:space="preserve">Issues-1. Can the </w:t>
      </w:r>
      <w:r>
        <w:rPr>
          <w:rFonts w:ascii="Arial" w:eastAsia="Arial" w:hAnsi="Arial"/>
          <w:b/>
          <w:color w:val="000000"/>
          <w:sz w:val="20"/>
        </w:rPr>
        <w:t>2</w:t>
      </w:r>
      <w:r>
        <w:rPr>
          <w:rFonts w:ascii="Arial" w:eastAsia="Arial" w:hAnsi="Arial"/>
          <w:b/>
          <w:color w:val="000000"/>
          <w:sz w:val="20"/>
          <w:vertAlign w:val="superscript"/>
        </w:rPr>
        <w:t>nd</w:t>
      </w:r>
      <w:r>
        <w:rPr>
          <w:rFonts w:eastAsia="Times New Roman"/>
          <w:b/>
          <w:color w:val="000000"/>
          <w:sz w:val="24"/>
        </w:rPr>
        <w:t xml:space="preserve"> Amendment be incorporated to the states by the 14th Amendment? 2.Were the precedent cases decided wrongly, and should they be overturned? 3. Should incorporation of the Bill of Rights for the last 50 plus years, be revisited and rethought in today's society?</w:t>
      </w:r>
    </w:p>
    <w:p w14:paraId="4E8E5F15" w14:textId="77777777" w:rsidR="003A161A" w:rsidRDefault="00D734A1">
      <w:pPr>
        <w:spacing w:before="28" w:line="563" w:lineRule="exact"/>
        <w:ind w:right="792"/>
        <w:textAlignment w:val="baseline"/>
        <w:rPr>
          <w:rFonts w:eastAsia="Times New Roman"/>
          <w:b/>
          <w:color w:val="000000"/>
          <w:spacing w:val="-1"/>
          <w:sz w:val="24"/>
        </w:rPr>
      </w:pPr>
      <w:r>
        <w:rPr>
          <w:rFonts w:eastAsia="Times New Roman"/>
          <w:b/>
          <w:color w:val="000000"/>
          <w:spacing w:val="-1"/>
          <w:sz w:val="24"/>
        </w:rPr>
        <w:t xml:space="preserve">Holding:1. Yes. The court has ruled in recent years that the </w:t>
      </w:r>
      <w:r>
        <w:rPr>
          <w:rFonts w:ascii="Arial" w:eastAsia="Arial" w:hAnsi="Arial"/>
          <w:b/>
          <w:color w:val="000000"/>
          <w:spacing w:val="-1"/>
          <w:sz w:val="20"/>
        </w:rPr>
        <w:t>2</w:t>
      </w:r>
      <w:r>
        <w:rPr>
          <w:rFonts w:ascii="Arial" w:eastAsia="Arial" w:hAnsi="Arial"/>
          <w:b/>
          <w:color w:val="000000"/>
          <w:spacing w:val="-1"/>
          <w:sz w:val="20"/>
          <w:vertAlign w:val="superscript"/>
        </w:rPr>
        <w:t>nd</w:t>
      </w:r>
      <w:r>
        <w:rPr>
          <w:rFonts w:eastAsia="Times New Roman"/>
          <w:b/>
          <w:color w:val="000000"/>
          <w:spacing w:val="-1"/>
          <w:sz w:val="24"/>
        </w:rPr>
        <w:t xml:space="preserve"> Amendment can be incorporated to the states through the due process clause of the 14th Amendment.</w:t>
      </w:r>
    </w:p>
    <w:p w14:paraId="46E289E3" w14:textId="77777777" w:rsidR="003A161A" w:rsidRDefault="00D734A1">
      <w:pPr>
        <w:numPr>
          <w:ilvl w:val="0"/>
          <w:numId w:val="2"/>
        </w:numPr>
        <w:tabs>
          <w:tab w:val="clear" w:pos="288"/>
          <w:tab w:val="left" w:pos="360"/>
        </w:tabs>
        <w:spacing w:before="23" w:line="544" w:lineRule="exact"/>
        <w:ind w:left="72" w:right="360"/>
        <w:textAlignment w:val="baseline"/>
        <w:rPr>
          <w:rFonts w:eastAsia="Times New Roman"/>
          <w:b/>
          <w:color w:val="000000"/>
          <w:sz w:val="24"/>
        </w:rPr>
      </w:pPr>
      <w:r>
        <w:rPr>
          <w:rFonts w:eastAsia="Times New Roman"/>
          <w:b/>
          <w:color w:val="000000"/>
          <w:sz w:val="24"/>
        </w:rPr>
        <w:t>No. The Slaughterhouse cases, etc, do not need to be reconsidered for the purpose of ruling in this case.</w:t>
      </w:r>
    </w:p>
    <w:p w14:paraId="7BD09A76" w14:textId="77777777" w:rsidR="003A161A" w:rsidRDefault="00D734A1">
      <w:pPr>
        <w:numPr>
          <w:ilvl w:val="0"/>
          <w:numId w:val="2"/>
        </w:numPr>
        <w:tabs>
          <w:tab w:val="clear" w:pos="288"/>
          <w:tab w:val="left" w:pos="360"/>
        </w:tabs>
        <w:spacing w:before="49" w:line="546" w:lineRule="exact"/>
        <w:ind w:left="72" w:right="216"/>
        <w:textAlignment w:val="baseline"/>
        <w:rPr>
          <w:rFonts w:eastAsia="Times New Roman"/>
          <w:b/>
          <w:color w:val="000000"/>
          <w:sz w:val="24"/>
        </w:rPr>
      </w:pPr>
      <w:r>
        <w:rPr>
          <w:rFonts w:eastAsia="Times New Roman"/>
          <w:b/>
          <w:color w:val="000000"/>
          <w:sz w:val="24"/>
        </w:rPr>
        <w:t>No. There is no reason to disregard 50 years of incorporation of the Bill of Rights, to fit the times of the present.</w:t>
      </w:r>
    </w:p>
    <w:p w14:paraId="0CC28846" w14:textId="77777777" w:rsidR="003A161A" w:rsidRDefault="00D734A1">
      <w:pPr>
        <w:spacing w:before="285" w:line="283" w:lineRule="exact"/>
        <w:textAlignment w:val="baseline"/>
        <w:rPr>
          <w:rFonts w:eastAsia="Times New Roman"/>
          <w:b/>
          <w:color w:val="000000"/>
          <w:spacing w:val="1"/>
          <w:sz w:val="24"/>
        </w:rPr>
      </w:pPr>
      <w:r>
        <w:rPr>
          <w:rFonts w:eastAsia="Times New Roman"/>
          <w:b/>
          <w:color w:val="000000"/>
          <w:spacing w:val="1"/>
          <w:sz w:val="24"/>
        </w:rPr>
        <w:t>Ruling: Reversed. 5-4</w:t>
      </w:r>
    </w:p>
    <w:p w14:paraId="1DF28C05" w14:textId="77777777" w:rsidR="003A161A" w:rsidRDefault="00D734A1">
      <w:pPr>
        <w:spacing w:before="33" w:line="563" w:lineRule="exact"/>
        <w:textAlignment w:val="baseline"/>
        <w:rPr>
          <w:rFonts w:eastAsia="Times New Roman"/>
          <w:b/>
          <w:color w:val="000000"/>
          <w:sz w:val="24"/>
        </w:rPr>
      </w:pPr>
      <w:r>
        <w:rPr>
          <w:rFonts w:eastAsia="Times New Roman"/>
          <w:b/>
          <w:color w:val="000000"/>
          <w:sz w:val="24"/>
        </w:rPr>
        <w:t xml:space="preserve">Legal Reasoning: Majority by Alito- The </w:t>
      </w:r>
      <w:r>
        <w:rPr>
          <w:rFonts w:ascii="Arial" w:eastAsia="Arial" w:hAnsi="Arial"/>
          <w:b/>
          <w:color w:val="000000"/>
          <w:sz w:val="20"/>
        </w:rPr>
        <w:t>2</w:t>
      </w:r>
      <w:r>
        <w:rPr>
          <w:rFonts w:ascii="Arial" w:eastAsia="Arial" w:hAnsi="Arial"/>
          <w:b/>
          <w:color w:val="000000"/>
          <w:sz w:val="20"/>
          <w:vertAlign w:val="superscript"/>
        </w:rPr>
        <w:t>nd</w:t>
      </w:r>
      <w:r>
        <w:rPr>
          <w:rFonts w:eastAsia="Times New Roman"/>
          <w:b/>
          <w:color w:val="000000"/>
          <w:sz w:val="24"/>
        </w:rPr>
        <w:t xml:space="preserve"> Amendment right to keep and bare arms is incorporated by the 14th Amendment because the right is "fundamental to the Nation's scheme of ordered liberty ... and is deeply rooted in this Nation's history and tradition." This was recognized in the Court's decision in </w:t>
      </w:r>
      <w:r>
        <w:rPr>
          <w:rFonts w:eastAsia="Times New Roman"/>
          <w:b/>
          <w:i/>
          <w:color w:val="000000"/>
          <w:sz w:val="24"/>
        </w:rPr>
        <w:t xml:space="preserve">Heller. </w:t>
      </w:r>
      <w:r>
        <w:rPr>
          <w:rFonts w:eastAsia="Times New Roman"/>
          <w:b/>
          <w:color w:val="000000"/>
          <w:sz w:val="24"/>
        </w:rPr>
        <w:t>There was no reason to look back into the Slaughterhouse cases because this case was being ruled on the Due Process clause, whereas Slaughterhouse cases were ruled and decided on the Privileges and Immunities</w:t>
      </w:r>
    </w:p>
    <w:p w14:paraId="7CF26432" w14:textId="77777777" w:rsidR="003A161A" w:rsidRDefault="003A161A">
      <w:pPr>
        <w:sectPr w:rsidR="003A161A">
          <w:pgSz w:w="12206" w:h="15835"/>
          <w:pgMar w:top="1160" w:right="1523" w:bottom="1199" w:left="1313" w:header="720" w:footer="720" w:gutter="0"/>
          <w:cols w:space="720"/>
        </w:sectPr>
      </w:pPr>
    </w:p>
    <w:p w14:paraId="79FABDD5" w14:textId="183D83E4" w:rsidR="003A161A" w:rsidRDefault="00A848EE">
      <w:pPr>
        <w:spacing w:before="175" w:line="563" w:lineRule="exact"/>
        <w:textAlignment w:val="baseline"/>
        <w:rPr>
          <w:rFonts w:eastAsia="Times New Roman"/>
          <w:color w:val="000000"/>
          <w:sz w:val="25"/>
        </w:rPr>
      </w:pPr>
      <w:r>
        <w:rPr>
          <w:noProof/>
        </w:rPr>
        <w:lastRenderedPageBreak/>
        <mc:AlternateContent>
          <mc:Choice Requires="wps">
            <w:drawing>
              <wp:anchor distT="0" distB="0" distL="0" distR="0" simplePos="0" relativeHeight="251657728" behindDoc="1" locked="0" layoutInCell="1" allowOverlap="1" wp14:anchorId="0CBFD98C" wp14:editId="77D7434B">
                <wp:simplePos x="0" y="0"/>
                <wp:positionH relativeFrom="page">
                  <wp:posOffset>805180</wp:posOffset>
                </wp:positionH>
                <wp:positionV relativeFrom="page">
                  <wp:posOffset>451485</wp:posOffset>
                </wp:positionV>
                <wp:extent cx="5974080" cy="178435"/>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75B3" w14:textId="77777777" w:rsidR="003A161A" w:rsidRDefault="003A161A">
                            <w:pPr>
                              <w:tabs>
                                <w:tab w:val="left" w:pos="3888"/>
                                <w:tab w:val="left" w:pos="6552"/>
                              </w:tabs>
                              <w:spacing w:line="268" w:lineRule="exact"/>
                              <w:textAlignment w:val="baseline"/>
                              <w:rPr>
                                <w:rFonts w:eastAsia="Times New Roman"/>
                                <w:color w:val="000000"/>
                                <w:spacing w:val="1"/>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FD98C" id="_x0000_t202" coordsize="21600,21600" o:spt="202" path="m,l,21600r21600,l21600,xe">
                <v:stroke joinstyle="miter"/>
                <v:path gradientshapeok="t" o:connecttype="rect"/>
              </v:shapetype>
              <v:shape id="_x0000_s0" o:spid="_x0000_s1026" type="#_x0000_t202" style="position:absolute;margin-left:63.4pt;margin-top:35.55pt;width:470.4pt;height:14.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" filled="f" stroked="f">
                <v:textbox inset="0,0,0,0">
                  <w:txbxContent>
                    <w:p w14:paraId="370975B3" w14:textId="77777777" w:rsidR="003A161A" w:rsidRDefault="003A161A">
                      <w:pPr>
                        <w:tabs>
                          <w:tab w:val="left" w:pos="3888"/>
                          <w:tab w:val="left" w:pos="6552"/>
                        </w:tabs>
                        <w:spacing w:line="268" w:lineRule="exact"/>
                        <w:textAlignment w:val="baseline"/>
                        <w:rPr>
                          <w:rFonts w:eastAsia="Times New Roman"/>
                          <w:color w:val="000000"/>
                          <w:spacing w:val="1"/>
                          <w:sz w:val="25"/>
                        </w:rPr>
                      </w:pPr>
                    </w:p>
                  </w:txbxContent>
                </v:textbox>
                <w10:wrap type="square" anchorx="page" anchory="page"/>
              </v:shape>
            </w:pict>
          </mc:Fallback>
        </mc:AlternateContent>
      </w:r>
      <w:r w:rsidR="00D734A1">
        <w:rPr>
          <w:rFonts w:eastAsia="Times New Roman"/>
          <w:color w:val="000000"/>
          <w:sz w:val="25"/>
        </w:rPr>
        <w:t>clause. The argument to reconsider incorporation is nonsensical. It goes against years of precedent and just because other areas of the world are banning handguns and such, America does not need to follow suit, because "...our Bill of Rights is virtually unique to this</w:t>
      </w:r>
    </w:p>
    <w:p w14:paraId="23519555" w14:textId="77777777" w:rsidR="003A161A" w:rsidRDefault="00D734A1">
      <w:pPr>
        <w:spacing w:before="290" w:line="292" w:lineRule="exact"/>
        <w:textAlignment w:val="baseline"/>
        <w:rPr>
          <w:rFonts w:eastAsia="Times New Roman"/>
          <w:color w:val="000000"/>
          <w:sz w:val="25"/>
        </w:rPr>
      </w:pPr>
      <w:r>
        <w:rPr>
          <w:rFonts w:eastAsia="Times New Roman"/>
          <w:color w:val="000000"/>
          <w:sz w:val="25"/>
        </w:rPr>
        <w:t xml:space="preserve">country." Alito concludes his opinion with, "In </w:t>
      </w:r>
      <w:r>
        <w:rPr>
          <w:rFonts w:eastAsia="Times New Roman"/>
          <w:i/>
          <w:color w:val="000000"/>
          <w:sz w:val="25"/>
        </w:rPr>
        <w:t xml:space="preserve">Heller, </w:t>
      </w:r>
      <w:r>
        <w:rPr>
          <w:rFonts w:eastAsia="Times New Roman"/>
          <w:color w:val="000000"/>
          <w:sz w:val="25"/>
        </w:rPr>
        <w:t>we held that the Second Amendment</w:t>
      </w:r>
    </w:p>
    <w:p w14:paraId="0BDAA896" w14:textId="77777777" w:rsidR="003A161A" w:rsidRDefault="00D734A1">
      <w:pPr>
        <w:spacing w:before="1" w:line="563" w:lineRule="exact"/>
        <w:ind w:right="72"/>
        <w:textAlignment w:val="baseline"/>
        <w:rPr>
          <w:rFonts w:eastAsia="Times New Roman"/>
          <w:color w:val="000000"/>
          <w:sz w:val="25"/>
        </w:rPr>
      </w:pPr>
      <w:r>
        <w:rPr>
          <w:rFonts w:eastAsia="Times New Roman"/>
          <w:color w:val="000000"/>
          <w:sz w:val="25"/>
        </w:rPr>
        <w:t xml:space="preserve">protects the right to possess a handgun in the home for the purpose of self-defense. Unless considerations of </w:t>
      </w:r>
      <w:r>
        <w:rPr>
          <w:rFonts w:eastAsia="Times New Roman"/>
          <w:i/>
          <w:color w:val="000000"/>
          <w:sz w:val="25"/>
        </w:rPr>
        <w:t xml:space="preserve">stare decisis </w:t>
      </w:r>
      <w:r>
        <w:rPr>
          <w:rFonts w:eastAsia="Times New Roman"/>
          <w:color w:val="000000"/>
          <w:sz w:val="25"/>
        </w:rPr>
        <w:t>counsel otherwise, a provision of the Bill of Rights that protects a right that is fundamental from an American perspective applies equally to the</w:t>
      </w:r>
    </w:p>
    <w:p w14:paraId="5E8239A3" w14:textId="77777777" w:rsidR="003A161A" w:rsidRDefault="00D734A1">
      <w:pPr>
        <w:spacing w:before="28" w:line="563" w:lineRule="exact"/>
        <w:ind w:right="144"/>
        <w:textAlignment w:val="baseline"/>
        <w:rPr>
          <w:rFonts w:eastAsia="Times New Roman"/>
          <w:color w:val="000000"/>
          <w:sz w:val="25"/>
        </w:rPr>
      </w:pPr>
      <w:r>
        <w:rPr>
          <w:rFonts w:eastAsia="Times New Roman"/>
          <w:color w:val="000000"/>
          <w:sz w:val="25"/>
        </w:rPr>
        <w:t xml:space="preserve">Federal Government and the States. We therefore hold that the Due Process Clause of the Fourteenth Amendment incorporates the Second Amendment right recognized in </w:t>
      </w:r>
      <w:r>
        <w:rPr>
          <w:rFonts w:eastAsia="Times New Roman"/>
          <w:i/>
          <w:color w:val="000000"/>
          <w:sz w:val="25"/>
        </w:rPr>
        <w:t xml:space="preserve">Heller." </w:t>
      </w:r>
      <w:r>
        <w:rPr>
          <w:rFonts w:eastAsia="Times New Roman"/>
          <w:color w:val="000000"/>
          <w:sz w:val="25"/>
        </w:rPr>
        <w:t>Concurrence by Scalia- The method we have of deciding and interpreting the Constitution</w:t>
      </w:r>
    </w:p>
    <w:p w14:paraId="44EA166E" w14:textId="77777777" w:rsidR="003A161A" w:rsidRDefault="00D734A1">
      <w:pPr>
        <w:spacing w:before="14" w:line="551" w:lineRule="exact"/>
        <w:ind w:right="72"/>
        <w:textAlignment w:val="baseline"/>
        <w:rPr>
          <w:rFonts w:eastAsia="Times New Roman"/>
          <w:color w:val="000000"/>
          <w:sz w:val="25"/>
        </w:rPr>
      </w:pPr>
      <w:r>
        <w:rPr>
          <w:rFonts w:eastAsia="Times New Roman"/>
          <w:color w:val="000000"/>
          <w:sz w:val="25"/>
        </w:rPr>
        <w:t>and the best that we have right now. It is the process that intrudes the least amount on the democratic process.</w:t>
      </w:r>
    </w:p>
    <w:p w14:paraId="636B493C" w14:textId="77777777" w:rsidR="003A161A" w:rsidRDefault="00D734A1">
      <w:pPr>
        <w:spacing w:before="32" w:line="563" w:lineRule="exact"/>
        <w:ind w:right="288"/>
        <w:textAlignment w:val="baseline"/>
        <w:rPr>
          <w:rFonts w:eastAsia="Times New Roman"/>
          <w:color w:val="000000"/>
          <w:sz w:val="25"/>
        </w:rPr>
      </w:pPr>
      <w:r>
        <w:rPr>
          <w:rFonts w:eastAsia="Times New Roman"/>
          <w:color w:val="000000"/>
          <w:sz w:val="25"/>
        </w:rPr>
        <w:t>Concurrence by Thomas- The incorporation under Due Process is right, but it is a flimsy argument. The Privileges and Immunities Clause is a better argument. Since the right to own a gun is listed in the Bill of Rights, it is a privilege of an American citizen.</w:t>
      </w:r>
    </w:p>
    <w:p w14:paraId="25E56362" w14:textId="77777777" w:rsidR="003A161A" w:rsidRDefault="00D734A1">
      <w:pPr>
        <w:spacing w:line="562" w:lineRule="exact"/>
        <w:ind w:right="72"/>
        <w:textAlignment w:val="baseline"/>
        <w:rPr>
          <w:rFonts w:eastAsia="Times New Roman"/>
          <w:color w:val="000000"/>
          <w:sz w:val="25"/>
        </w:rPr>
      </w:pPr>
      <w:r>
        <w:rPr>
          <w:rFonts w:eastAsia="Times New Roman"/>
          <w:color w:val="000000"/>
          <w:sz w:val="25"/>
        </w:rPr>
        <w:t xml:space="preserve">Dissent by Stevens- The 14th does not incorporate the </w:t>
      </w:r>
      <w:r>
        <w:rPr>
          <w:rFonts w:eastAsia="Times New Roman"/>
          <w:b/>
          <w:color w:val="000000"/>
          <w:sz w:val="20"/>
        </w:rPr>
        <w:t>2</w:t>
      </w:r>
      <w:r>
        <w:rPr>
          <w:rFonts w:eastAsia="Times New Roman"/>
          <w:b/>
          <w:color w:val="000000"/>
          <w:sz w:val="20"/>
          <w:vertAlign w:val="superscript"/>
        </w:rPr>
        <w:t>n</w:t>
      </w:r>
      <w:r>
        <w:rPr>
          <w:rFonts w:eastAsia="Times New Roman"/>
          <w:b/>
          <w:color w:val="000000"/>
          <w:sz w:val="20"/>
        </w:rPr>
        <w:t xml:space="preserve">d </w:t>
      </w:r>
      <w:r>
        <w:rPr>
          <w:rFonts w:eastAsia="Times New Roman"/>
          <w:color w:val="000000"/>
          <w:sz w:val="25"/>
        </w:rPr>
        <w:t xml:space="preserve">against the states. Owning a personal firearm is not a liberty interest that is protected by the Due Process Clause. There is nothing in the text or history of the Constitution's </w:t>
      </w:r>
      <w:r>
        <w:rPr>
          <w:rFonts w:eastAsia="Times New Roman"/>
          <w:b/>
          <w:color w:val="000000"/>
          <w:sz w:val="20"/>
        </w:rPr>
        <w:t xml:space="preserve">2nd </w:t>
      </w:r>
      <w:r>
        <w:rPr>
          <w:rFonts w:eastAsia="Times New Roman"/>
          <w:color w:val="000000"/>
          <w:sz w:val="25"/>
        </w:rPr>
        <w:t>Amendment that characterizes gun ownership as a fundamental right, which would warrant incorporation under the 14th Amendment.</w:t>
      </w:r>
    </w:p>
    <w:p w14:paraId="6C225F3F" w14:textId="77777777" w:rsidR="003A161A" w:rsidRDefault="00D734A1">
      <w:pPr>
        <w:spacing w:before="54" w:line="528" w:lineRule="exact"/>
        <w:ind w:right="720"/>
        <w:textAlignment w:val="baseline"/>
        <w:rPr>
          <w:rFonts w:eastAsia="Times New Roman"/>
          <w:b/>
          <w:color w:val="000000"/>
          <w:sz w:val="25"/>
        </w:rPr>
      </w:pPr>
      <w:r>
        <w:rPr>
          <w:rFonts w:eastAsia="Times New Roman"/>
          <w:b/>
          <w:color w:val="000000"/>
          <w:sz w:val="25"/>
        </w:rPr>
        <w:t xml:space="preserve">Precedent Cases: </w:t>
      </w:r>
      <w:r>
        <w:rPr>
          <w:rFonts w:eastAsia="Times New Roman"/>
          <w:color w:val="000000"/>
          <w:sz w:val="25"/>
        </w:rPr>
        <w:t>D.C. v Heller, Slaughterhouse Cases, U.S. v. Cruikshanks, Presser v. Illinois.</w:t>
      </w:r>
    </w:p>
    <w:p w14:paraId="7DACDA03" w14:textId="77777777" w:rsidR="003A161A" w:rsidRDefault="003A161A">
      <w:pPr>
        <w:sectPr w:rsidR="003A161A">
          <w:pgSz w:w="12163" w:h="15806"/>
          <w:pgMar w:top="992" w:right="1487" w:bottom="1790" w:left="1268" w:header="720" w:footer="720" w:gutter="0"/>
          <w:cols w:space="720"/>
        </w:sectPr>
      </w:pPr>
    </w:p>
    <w:p w14:paraId="6B34951B" w14:textId="77777777" w:rsidR="003A161A" w:rsidRDefault="00D734A1">
      <w:pPr>
        <w:spacing w:before="13" w:after="916" w:line="107" w:lineRule="exact"/>
        <w:textAlignment w:val="baseline"/>
        <w:rPr>
          <w:rFonts w:ascii="Arial" w:eastAsia="Arial" w:hAnsi="Arial"/>
          <w:color w:val="000000"/>
          <w:spacing w:val="26"/>
          <w:sz w:val="9"/>
        </w:rPr>
      </w:pPr>
      <w:r>
        <w:rPr>
          <w:rFonts w:ascii="Arial" w:eastAsia="Arial" w:hAnsi="Arial"/>
          <w:color w:val="000000"/>
          <w:spacing w:val="26"/>
          <w:sz w:val="9"/>
        </w:rPr>
        <w:lastRenderedPageBreak/>
        <w:t>I. . . .,..</w:t>
      </w:r>
    </w:p>
    <w:p w14:paraId="5B491BED" w14:textId="77777777" w:rsidR="003A161A" w:rsidRDefault="003A161A">
      <w:pPr>
        <w:spacing w:before="13" w:after="916" w:line="107" w:lineRule="exact"/>
        <w:sectPr w:rsidR="003A161A">
          <w:pgSz w:w="12168" w:h="15734"/>
          <w:pgMar w:top="360" w:right="11088" w:bottom="12478" w:left="360" w:header="720" w:footer="720" w:gutter="0"/>
          <w:cols w:space="720"/>
        </w:sectPr>
      </w:pPr>
    </w:p>
    <w:p w14:paraId="1EC13B53" w14:textId="77777777" w:rsidR="003A161A" w:rsidRDefault="00D734A1">
      <w:pPr>
        <w:spacing w:line="430" w:lineRule="exact"/>
        <w:jc w:val="both"/>
        <w:textAlignment w:val="baseline"/>
        <w:rPr>
          <w:rFonts w:eastAsia="Times New Roman"/>
          <w:color w:val="000000"/>
          <w:sz w:val="25"/>
        </w:rPr>
      </w:pPr>
      <w:r>
        <w:rPr>
          <w:rFonts w:eastAsia="Times New Roman"/>
          <w:color w:val="000000"/>
          <w:sz w:val="25"/>
        </w:rPr>
        <w:t>Van Geel- Heller to McDonalds. McDonalds broadens the area of impermissible government regulations.</w:t>
      </w:r>
    </w:p>
    <w:p w14:paraId="760DAC07" w14:textId="77777777" w:rsidR="003A161A" w:rsidRDefault="00D734A1">
      <w:pPr>
        <w:spacing w:before="273" w:line="292" w:lineRule="exact"/>
        <w:textAlignment w:val="baseline"/>
        <w:rPr>
          <w:rFonts w:eastAsia="Times New Roman"/>
          <w:b/>
          <w:color w:val="000000"/>
          <w:spacing w:val="-2"/>
          <w:sz w:val="25"/>
        </w:rPr>
      </w:pPr>
      <w:r>
        <w:rPr>
          <w:rFonts w:eastAsia="Times New Roman"/>
          <w:b/>
          <w:color w:val="000000"/>
          <w:spacing w:val="-2"/>
          <w:sz w:val="25"/>
        </w:rPr>
        <w:t xml:space="preserve">Source of Law:2nd </w:t>
      </w:r>
      <w:r>
        <w:rPr>
          <w:rFonts w:eastAsia="Times New Roman"/>
          <w:color w:val="000000"/>
          <w:spacing w:val="-2"/>
          <w:sz w:val="25"/>
        </w:rPr>
        <w:t>Amendment; 14th Amendment</w:t>
      </w:r>
    </w:p>
    <w:p w14:paraId="058D7053" w14:textId="77777777" w:rsidR="003A161A" w:rsidRDefault="003A161A">
      <w:pPr>
        <w:sectPr w:rsidR="003A161A">
          <w:type w:val="continuous"/>
          <w:pgSz w:w="12168" w:h="15734"/>
          <w:pgMar w:top="360" w:right="1428" w:bottom="12478" w:left="1332" w:header="720" w:footer="720" w:gutter="0"/>
          <w:cols w:space="720"/>
        </w:sectPr>
      </w:pPr>
    </w:p>
    <w:p w14:paraId="694B671E" w14:textId="59B67C7A" w:rsidR="003A161A" w:rsidRDefault="003A161A">
      <w:pPr>
        <w:tabs>
          <w:tab w:val="right" w:pos="2736"/>
        </w:tabs>
        <w:spacing w:before="56" w:line="548" w:lineRule="exact"/>
        <w:textAlignment w:val="baseline"/>
        <w:rPr>
          <w:rFonts w:ascii="Garamond" w:eastAsia="Garamond" w:hAnsi="Garamond"/>
          <w:i/>
          <w:color w:val="000000"/>
          <w:spacing w:val="-11"/>
          <w:w w:val="105"/>
          <w:sz w:val="52"/>
        </w:rPr>
      </w:pPr>
      <w:bookmarkStart w:id="0" w:name="_GoBack"/>
      <w:bookmarkEnd w:id="0"/>
    </w:p>
    <w:sectPr w:rsidR="003A161A">
      <w:type w:val="continuous"/>
      <w:pgSz w:w="12163" w:h="15797"/>
      <w:pgMar w:top="1200" w:right="4345" w:bottom="10901" w:left="50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Garamond">
    <w:charset w:val="00"/>
    <w:pitch w:val="variable"/>
    <w:family w:val="roman"/>
    <w:panose1 w:val="02020603050405020304"/>
  </w:font>
  <w:font w:name="Arial Narrow">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14E"/>
    <w:multiLevelType w:val="multilevel"/>
    <w:tmpl w:val="6CEE590E"/>
    <w:lvl w:ilvl="0">
      <w:start w:val="2"/>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7D2BDB"/>
    <w:multiLevelType w:val="multilevel"/>
    <w:tmpl w:val="421EEDE0"/>
    <w:lvl w:ilvl="0">
      <w:start w:val="1"/>
      <w:numFmt w:val="decimal"/>
      <w:lvlText w:val="%1."/>
      <w:lvlJc w:val="left"/>
      <w:pPr>
        <w:tabs>
          <w:tab w:val="left" w:pos="216"/>
        </w:tabs>
        <w:ind w:left="720"/>
      </w:pPr>
      <w:rPr>
        <w:rFonts w:ascii="Times New Roman" w:eastAsia="Times New Roman" w:hAnsi="Times New Roman"/>
        <w:strike w:val="0"/>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1A"/>
    <w:rsid w:val="003A161A"/>
    <w:rsid w:val="00710001"/>
    <w:rsid w:val="00A848EE"/>
    <w:rsid w:val="00CD0976"/>
    <w:rsid w:val="00D7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1037"/>
  <w15:docId w15:val="{7C7A4EAD-011E-457C-8039-3D93CA6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2</cp:revision>
  <dcterms:created xsi:type="dcterms:W3CDTF">2019-11-18T18:20:00Z</dcterms:created>
  <dcterms:modified xsi:type="dcterms:W3CDTF">2019-11-18T18:20:00Z</dcterms:modified>
</cp:coreProperties>
</file>