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E201E" w14:textId="77777777" w:rsidR="00E22BCF" w:rsidRPr="00E22BCF" w:rsidRDefault="00E22BCF" w:rsidP="00E22BCF">
      <w:pPr>
        <w:pStyle w:val="Heading1"/>
        <w:rPr>
          <w:rFonts w:eastAsiaTheme="minorHAnsi"/>
          <w:color w:val="000000" w:themeColor="text1"/>
        </w:rPr>
      </w:pPr>
      <w:r w:rsidRPr="00E22BCF">
        <w:rPr>
          <w:rFonts w:eastAsiaTheme="minorHAnsi"/>
          <w:color w:val="000000" w:themeColor="text1"/>
        </w:rPr>
        <w:t>June Medical Services LLC v. Russo</w:t>
      </w:r>
    </w:p>
    <w:p w14:paraId="62D31369" w14:textId="77777777" w:rsidR="00E22BCF" w:rsidRPr="00E22BCF" w:rsidRDefault="00E22BCF" w:rsidP="00E22BCF">
      <w:pPr>
        <w:pStyle w:val="Heading2"/>
        <w:rPr>
          <w:color w:val="000000" w:themeColor="text1"/>
        </w:rPr>
      </w:pPr>
      <w:r w:rsidRPr="00E22BCF">
        <w:rPr>
          <w:color w:val="000000" w:themeColor="text1"/>
        </w:rPr>
        <w:t>Facts</w:t>
      </w:r>
    </w:p>
    <w:p w14:paraId="569C8E5E" w14:textId="77777777" w:rsidR="00E22BCF" w:rsidRPr="00E22BCF" w:rsidRDefault="00E22BCF" w:rsidP="00E22BCF">
      <w:pPr>
        <w:pStyle w:val="Heading3"/>
        <w:rPr>
          <w:color w:val="000000" w:themeColor="text1"/>
        </w:rPr>
      </w:pPr>
      <w:r w:rsidRPr="00E22BCF">
        <w:rPr>
          <w:color w:val="000000" w:themeColor="text1"/>
        </w:rPr>
        <w:t xml:space="preserve">Louisiana’s Act 620, which is word-for-word identical to Texas abortion law which was the issue of </w:t>
      </w:r>
      <w:r w:rsidRPr="00E22BCF">
        <w:rPr>
          <w:i/>
          <w:color w:val="000000" w:themeColor="text1"/>
        </w:rPr>
        <w:t xml:space="preserve">Whole Woman’s Health v. </w:t>
      </w:r>
      <w:proofErr w:type="spellStart"/>
      <w:r w:rsidRPr="00E22BCF">
        <w:rPr>
          <w:i/>
          <w:color w:val="000000" w:themeColor="text1"/>
        </w:rPr>
        <w:t>Hellerstedt</w:t>
      </w:r>
      <w:proofErr w:type="spellEnd"/>
      <w:r w:rsidRPr="00E22BCF">
        <w:rPr>
          <w:iCs/>
          <w:color w:val="000000" w:themeColor="text1"/>
        </w:rPr>
        <w:t xml:space="preserve"> which was deemed unconstitutional. Here, five abortion clinics challenge Louisiana’s Act 620 because they allege it is an undue burden on the right of their patients to obtain an abortion. </w:t>
      </w:r>
    </w:p>
    <w:p w14:paraId="4F0E8337" w14:textId="77777777" w:rsidR="00E22BCF" w:rsidRPr="00E22BCF" w:rsidRDefault="00E22BCF" w:rsidP="00E22BCF">
      <w:pPr>
        <w:pStyle w:val="Heading2"/>
        <w:rPr>
          <w:color w:val="000000" w:themeColor="text1"/>
        </w:rPr>
      </w:pPr>
      <w:r w:rsidRPr="00E22BCF">
        <w:rPr>
          <w:color w:val="000000" w:themeColor="text1"/>
        </w:rPr>
        <w:t>Procedural History</w:t>
      </w:r>
    </w:p>
    <w:p w14:paraId="7ACCB15D" w14:textId="77777777" w:rsidR="00E22BCF" w:rsidRPr="00E22BCF" w:rsidRDefault="00E22BCF" w:rsidP="00E22BCF">
      <w:pPr>
        <w:pStyle w:val="Heading3"/>
        <w:rPr>
          <w:color w:val="000000" w:themeColor="text1"/>
        </w:rPr>
      </w:pPr>
      <w:r w:rsidRPr="00E22BCF">
        <w:rPr>
          <w:color w:val="000000" w:themeColor="text1"/>
        </w:rPr>
        <w:t>District Court declared Act 620 unconstitutional</w:t>
      </w:r>
    </w:p>
    <w:p w14:paraId="19BD3B91" w14:textId="77777777" w:rsidR="00E22BCF" w:rsidRPr="00E22BCF" w:rsidRDefault="00E22BCF" w:rsidP="00E22BCF">
      <w:pPr>
        <w:pStyle w:val="Heading3"/>
        <w:rPr>
          <w:color w:val="000000" w:themeColor="text1"/>
        </w:rPr>
      </w:pPr>
      <w:r w:rsidRPr="00E22BCF">
        <w:rPr>
          <w:color w:val="000000" w:themeColor="text1"/>
        </w:rPr>
        <w:t>The Fifth Circuit of Appeals reversed</w:t>
      </w:r>
    </w:p>
    <w:p w14:paraId="0BA2EA0B" w14:textId="77777777" w:rsidR="00E22BCF" w:rsidRPr="00E22BCF" w:rsidRDefault="00E22BCF" w:rsidP="00E22BCF">
      <w:pPr>
        <w:pStyle w:val="Heading2"/>
        <w:rPr>
          <w:color w:val="000000" w:themeColor="text1"/>
        </w:rPr>
      </w:pPr>
      <w:r w:rsidRPr="00E22BCF">
        <w:rPr>
          <w:color w:val="000000" w:themeColor="text1"/>
        </w:rPr>
        <w:t>Issue</w:t>
      </w:r>
    </w:p>
    <w:p w14:paraId="03F95C9A" w14:textId="77777777" w:rsidR="00E22BCF" w:rsidRPr="00E22BCF" w:rsidRDefault="00E22BCF" w:rsidP="00E22BCF">
      <w:pPr>
        <w:pStyle w:val="Heading3"/>
        <w:rPr>
          <w:color w:val="000000" w:themeColor="text1"/>
        </w:rPr>
      </w:pPr>
      <w:r w:rsidRPr="00E22BCF">
        <w:rPr>
          <w:color w:val="000000" w:themeColor="text1"/>
        </w:rPr>
        <w:t xml:space="preserve">Does the </w:t>
      </w:r>
      <w:proofErr w:type="spellStart"/>
      <w:r w:rsidRPr="00E22BCF">
        <w:rPr>
          <w:color w:val="000000" w:themeColor="text1"/>
        </w:rPr>
        <w:t>U.S</w:t>
      </w:r>
      <w:proofErr w:type="spellEnd"/>
      <w:r w:rsidRPr="00E22BCF">
        <w:rPr>
          <w:color w:val="000000" w:themeColor="text1"/>
        </w:rPr>
        <w:t xml:space="preserve"> Court of Appeals for Fifth Circuit upholding Louisiana’s law requiring physicians who perform abortions to have admitting privileges at a local hospital conflict the Court’s decision in </w:t>
      </w:r>
      <w:r w:rsidRPr="00E22BCF">
        <w:rPr>
          <w:i/>
          <w:iCs/>
          <w:color w:val="000000" w:themeColor="text1"/>
        </w:rPr>
        <w:t xml:space="preserve">Whole Woman’s Health v. </w:t>
      </w:r>
      <w:proofErr w:type="spellStart"/>
      <w:r w:rsidRPr="00E22BCF">
        <w:rPr>
          <w:i/>
          <w:iCs/>
          <w:color w:val="000000" w:themeColor="text1"/>
        </w:rPr>
        <w:t>Hellerstedt</w:t>
      </w:r>
      <w:proofErr w:type="spellEnd"/>
      <w:r w:rsidRPr="00E22BCF">
        <w:rPr>
          <w:color w:val="000000" w:themeColor="text1"/>
        </w:rPr>
        <w:t>?</w:t>
      </w:r>
    </w:p>
    <w:p w14:paraId="106220B1" w14:textId="77777777" w:rsidR="00E22BCF" w:rsidRPr="00E22BCF" w:rsidRDefault="00E22BCF" w:rsidP="00E22BCF">
      <w:pPr>
        <w:pStyle w:val="Heading2"/>
        <w:rPr>
          <w:color w:val="000000" w:themeColor="text1"/>
        </w:rPr>
      </w:pPr>
      <w:r w:rsidRPr="00E22BCF">
        <w:rPr>
          <w:color w:val="000000" w:themeColor="text1"/>
        </w:rPr>
        <w:t xml:space="preserve">Holding </w:t>
      </w:r>
    </w:p>
    <w:p w14:paraId="1F8CE83D" w14:textId="77777777" w:rsidR="00E22BCF" w:rsidRPr="00E22BCF" w:rsidRDefault="00E22BCF" w:rsidP="00E22BCF">
      <w:pPr>
        <w:pStyle w:val="Heading3"/>
        <w:rPr>
          <w:color w:val="000000" w:themeColor="text1"/>
        </w:rPr>
      </w:pPr>
      <w:r w:rsidRPr="00E22BCF">
        <w:rPr>
          <w:color w:val="000000" w:themeColor="text1"/>
        </w:rPr>
        <w:t>Given the District Court’s factual findings and precedents, particularly Whole Woman’s Health, Act 620 violates the Constitution.</w:t>
      </w:r>
    </w:p>
    <w:p w14:paraId="7BB64000" w14:textId="1F1741A4" w:rsidR="00E22BCF" w:rsidRPr="00E22BCF" w:rsidRDefault="00E22BCF" w:rsidP="00E22BCF">
      <w:pPr>
        <w:pStyle w:val="Heading2"/>
        <w:rPr>
          <w:color w:val="000000" w:themeColor="text1"/>
        </w:rPr>
      </w:pPr>
      <w:r w:rsidRPr="00E22BCF">
        <w:rPr>
          <w:color w:val="000000" w:themeColor="text1"/>
        </w:rPr>
        <w:t>Judgement</w:t>
      </w:r>
      <w:r w:rsidR="00E90CDE">
        <w:rPr>
          <w:color w:val="000000" w:themeColor="text1"/>
        </w:rPr>
        <w:t xml:space="preserve">  5-4   Breyer, Ginzburg, Sotomayor and Kagan in plurality</w:t>
      </w:r>
    </w:p>
    <w:p w14:paraId="19C24A05" w14:textId="77777777" w:rsidR="00E22BCF" w:rsidRPr="00E22BCF" w:rsidRDefault="00E22BCF" w:rsidP="00E22BCF">
      <w:pPr>
        <w:pStyle w:val="Heading3"/>
        <w:rPr>
          <w:color w:val="000000" w:themeColor="text1"/>
        </w:rPr>
      </w:pPr>
      <w:r w:rsidRPr="00E22BCF">
        <w:rPr>
          <w:color w:val="000000" w:themeColor="text1"/>
        </w:rPr>
        <w:t>Fifth Circuit judgment is reversed</w:t>
      </w:r>
    </w:p>
    <w:p w14:paraId="4D9E6BC5" w14:textId="77777777" w:rsidR="00E22BCF" w:rsidRPr="00E22BCF" w:rsidRDefault="00E22BCF" w:rsidP="00E22BCF">
      <w:pPr>
        <w:pStyle w:val="Heading2"/>
        <w:rPr>
          <w:color w:val="000000" w:themeColor="text1"/>
        </w:rPr>
      </w:pPr>
      <w:r w:rsidRPr="00E22BCF">
        <w:rPr>
          <w:color w:val="000000" w:themeColor="text1"/>
        </w:rPr>
        <w:t>Arguments</w:t>
      </w:r>
    </w:p>
    <w:p w14:paraId="5199491F" w14:textId="77777777" w:rsidR="00E22BCF" w:rsidRPr="00E22BCF" w:rsidRDefault="00E22BCF" w:rsidP="00E22BCF">
      <w:pPr>
        <w:pStyle w:val="Heading3"/>
        <w:rPr>
          <w:color w:val="000000" w:themeColor="text1"/>
        </w:rPr>
      </w:pPr>
      <w:r w:rsidRPr="00E22BCF">
        <w:rPr>
          <w:color w:val="000000" w:themeColor="text1"/>
        </w:rPr>
        <w:t>June Medical Services</w:t>
      </w:r>
    </w:p>
    <w:p w14:paraId="0096FAF7" w14:textId="77777777" w:rsidR="00E22BCF" w:rsidRPr="00E22BCF" w:rsidRDefault="00E22BCF" w:rsidP="00E22BCF">
      <w:pPr>
        <w:pStyle w:val="Heading4"/>
        <w:rPr>
          <w:color w:val="000000" w:themeColor="text1"/>
        </w:rPr>
      </w:pPr>
      <w:r w:rsidRPr="00E22BCF">
        <w:rPr>
          <w:color w:val="000000" w:themeColor="text1"/>
        </w:rPr>
        <w:t xml:space="preserve">The plaintiffs fail to carry their heavy burden of </w:t>
      </w:r>
      <w:proofErr w:type="spellStart"/>
      <w:r w:rsidRPr="00E22BCF">
        <w:rPr>
          <w:color w:val="000000" w:themeColor="text1"/>
        </w:rPr>
        <w:t>proff</w:t>
      </w:r>
      <w:proofErr w:type="spellEnd"/>
      <w:r w:rsidRPr="00E22BCF">
        <w:rPr>
          <w:color w:val="000000" w:themeColor="text1"/>
        </w:rPr>
        <w:t xml:space="preserve"> that is required to facially invalidate a state law</w:t>
      </w:r>
    </w:p>
    <w:p w14:paraId="3B267AE5" w14:textId="77777777" w:rsidR="00E22BCF" w:rsidRPr="00E22BCF" w:rsidRDefault="00E22BCF" w:rsidP="00E22BCF">
      <w:pPr>
        <w:pStyle w:val="Heading4"/>
        <w:rPr>
          <w:color w:val="000000" w:themeColor="text1"/>
        </w:rPr>
      </w:pPr>
      <w:r w:rsidRPr="00E22BCF">
        <w:rPr>
          <w:color w:val="000000" w:themeColor="text1"/>
        </w:rPr>
        <w:t>Louisiana decision to require abortion providers to have admitting privileges was justified by abundant evidence of life</w:t>
      </w:r>
    </w:p>
    <w:p w14:paraId="4E4580A1" w14:textId="77777777" w:rsidR="00E22BCF" w:rsidRPr="00E22BCF" w:rsidRDefault="00E22BCF" w:rsidP="00E22BCF">
      <w:pPr>
        <w:pStyle w:val="Heading4"/>
        <w:rPr>
          <w:color w:val="000000" w:themeColor="text1"/>
        </w:rPr>
      </w:pPr>
      <w:r w:rsidRPr="00E22BCF">
        <w:rPr>
          <w:color w:val="000000" w:themeColor="text1"/>
        </w:rPr>
        <w:t>The substantive due process claim does not hold up because they can get privileges within the state</w:t>
      </w:r>
    </w:p>
    <w:p w14:paraId="5B6472D5" w14:textId="77777777" w:rsidR="00E22BCF" w:rsidRPr="00E22BCF" w:rsidRDefault="00E22BCF" w:rsidP="00E22BCF">
      <w:pPr>
        <w:pStyle w:val="Heading4"/>
        <w:rPr>
          <w:color w:val="000000" w:themeColor="text1"/>
        </w:rPr>
      </w:pPr>
      <w:r w:rsidRPr="00E22BCF">
        <w:rPr>
          <w:color w:val="000000" w:themeColor="text1"/>
        </w:rPr>
        <w:t>They do not meet modern, rigorous rule for third-party standing</w:t>
      </w:r>
    </w:p>
    <w:p w14:paraId="3796471F" w14:textId="77777777" w:rsidR="00E22BCF" w:rsidRPr="00E22BCF" w:rsidRDefault="00E22BCF" w:rsidP="00E22BCF">
      <w:pPr>
        <w:pStyle w:val="Heading3"/>
        <w:rPr>
          <w:color w:val="000000" w:themeColor="text1"/>
        </w:rPr>
      </w:pPr>
      <w:r w:rsidRPr="00E22BCF">
        <w:rPr>
          <w:color w:val="000000" w:themeColor="text1"/>
        </w:rPr>
        <w:t>Russo</w:t>
      </w:r>
    </w:p>
    <w:p w14:paraId="1B333FC3" w14:textId="77777777" w:rsidR="00E22BCF" w:rsidRPr="00E22BCF" w:rsidRDefault="00E22BCF" w:rsidP="00E22BCF">
      <w:pPr>
        <w:pStyle w:val="Heading4"/>
        <w:rPr>
          <w:color w:val="000000" w:themeColor="text1"/>
        </w:rPr>
      </w:pPr>
      <w:r w:rsidRPr="00E22BCF">
        <w:rPr>
          <w:color w:val="000000" w:themeColor="text1"/>
        </w:rPr>
        <w:t>The Louisiana law places an undue burden on woman’s health and there is no benefit of the law</w:t>
      </w:r>
    </w:p>
    <w:p w14:paraId="1821EAF8" w14:textId="77777777" w:rsidR="00E22BCF" w:rsidRPr="00E22BCF" w:rsidRDefault="00E22BCF" w:rsidP="00E22BCF">
      <w:pPr>
        <w:pStyle w:val="Heading4"/>
        <w:rPr>
          <w:color w:val="000000" w:themeColor="text1"/>
        </w:rPr>
      </w:pPr>
      <w:r w:rsidRPr="00E22BCF">
        <w:rPr>
          <w:color w:val="000000" w:themeColor="text1"/>
        </w:rPr>
        <w:t>The Louisiana law is identical to the Texas law that was ruled as unconstitutional</w:t>
      </w:r>
    </w:p>
    <w:p w14:paraId="683FD860" w14:textId="77777777" w:rsidR="00E22BCF" w:rsidRPr="00E22BCF" w:rsidRDefault="00E22BCF" w:rsidP="00E22BCF">
      <w:pPr>
        <w:pStyle w:val="Heading4"/>
        <w:rPr>
          <w:color w:val="000000" w:themeColor="text1"/>
        </w:rPr>
      </w:pPr>
      <w:r w:rsidRPr="00E22BCF">
        <w:rPr>
          <w:color w:val="000000" w:themeColor="text1"/>
        </w:rPr>
        <w:t>Louisiana law is violated plaintiffs substantive due process claim due to limiting services to them</w:t>
      </w:r>
    </w:p>
    <w:p w14:paraId="745CC220" w14:textId="77777777" w:rsidR="00E22BCF" w:rsidRPr="00E22BCF" w:rsidRDefault="00E22BCF" w:rsidP="00E22BCF">
      <w:pPr>
        <w:pStyle w:val="Heading4"/>
        <w:rPr>
          <w:color w:val="000000" w:themeColor="text1"/>
        </w:rPr>
      </w:pPr>
      <w:r w:rsidRPr="00E22BCF">
        <w:rPr>
          <w:color w:val="000000" w:themeColor="text1"/>
        </w:rPr>
        <w:t>The doctors that have been restricted on performing abortions are licensed</w:t>
      </w:r>
    </w:p>
    <w:p w14:paraId="25902B01" w14:textId="77777777" w:rsidR="00E22BCF" w:rsidRPr="00E22BCF" w:rsidRDefault="00E22BCF" w:rsidP="00E22BCF">
      <w:pPr>
        <w:pStyle w:val="Heading2"/>
        <w:rPr>
          <w:color w:val="000000" w:themeColor="text1"/>
        </w:rPr>
      </w:pPr>
      <w:r w:rsidRPr="00E22BCF">
        <w:rPr>
          <w:color w:val="000000" w:themeColor="text1"/>
        </w:rPr>
        <w:lastRenderedPageBreak/>
        <w:t>Legal Reasoning</w:t>
      </w:r>
    </w:p>
    <w:p w14:paraId="26CE9610" w14:textId="77777777" w:rsidR="00E22BCF" w:rsidRPr="00E22BCF" w:rsidRDefault="00E22BCF" w:rsidP="00E22BCF">
      <w:pPr>
        <w:pStyle w:val="Heading3"/>
        <w:rPr>
          <w:color w:val="000000" w:themeColor="text1"/>
        </w:rPr>
      </w:pPr>
      <w:r w:rsidRPr="00E22BCF">
        <w:rPr>
          <w:color w:val="000000" w:themeColor="text1"/>
        </w:rPr>
        <w:t>Plurality Opinion, Breyer</w:t>
      </w:r>
    </w:p>
    <w:p w14:paraId="5E5FAF57" w14:textId="77777777" w:rsidR="00E22BCF" w:rsidRPr="00E22BCF" w:rsidRDefault="00E22BCF" w:rsidP="00E22BCF">
      <w:pPr>
        <w:pStyle w:val="Heading4"/>
        <w:rPr>
          <w:color w:val="000000" w:themeColor="text1"/>
        </w:rPr>
      </w:pPr>
      <w:r w:rsidRPr="00E22BCF">
        <w:rPr>
          <w:rFonts w:eastAsia="Times New Roman"/>
          <w:color w:val="000000" w:themeColor="text1"/>
          <w:lang w:eastAsia="en-US"/>
        </w:rPr>
        <w:t>The State’s unmistakable concession of standing as part of its effort to obtain a quick decision from the District Court on the merits of the plaintiffs’ undue-burden claims and a long line of well-established precedents foreclose its belated challenge to the plaintiffs’ standing in this Court</w:t>
      </w:r>
    </w:p>
    <w:p w14:paraId="17D67A0B" w14:textId="77777777" w:rsidR="00E22BCF" w:rsidRPr="00E22BCF" w:rsidRDefault="00E22BCF" w:rsidP="00E22BCF">
      <w:pPr>
        <w:pStyle w:val="Heading4"/>
        <w:rPr>
          <w:color w:val="000000" w:themeColor="text1"/>
        </w:rPr>
      </w:pPr>
      <w:r w:rsidRPr="00E22BCF">
        <w:rPr>
          <w:color w:val="000000" w:themeColor="text1"/>
        </w:rPr>
        <w:t xml:space="preserve">The district court applied the standard correctly in Planned Parenthood v. Casey and Whole Woman’s Health that courts must conduct an independent review of the legislative findings upon which an abortion-related statute rests and to weigh the law’s “asserted benefits against the burdens” it imposes on abortion access in this case. </w:t>
      </w:r>
    </w:p>
    <w:p w14:paraId="1A14BEE2" w14:textId="77777777" w:rsidR="00E22BCF" w:rsidRPr="00E22BCF" w:rsidRDefault="00E22BCF" w:rsidP="00E22BCF">
      <w:pPr>
        <w:pStyle w:val="Heading4"/>
        <w:rPr>
          <w:color w:val="000000" w:themeColor="text1"/>
        </w:rPr>
      </w:pPr>
      <w:r w:rsidRPr="00E22BCF">
        <w:rPr>
          <w:rFonts w:eastAsia="Times New Roman"/>
          <w:color w:val="000000" w:themeColor="text1"/>
          <w:lang w:eastAsia="en-US"/>
        </w:rPr>
        <w:t>Taken together, the District Court’s findings and the evidence underlying them are sufficient to support its conclusion that enforcing the admitting-privileges requirement would drastically reduce the number and geographic distribution of abortion providers, making it impossible for many women to obtain a safe, legal abortion in the State and imposing substantial obstacles on those who could</w:t>
      </w:r>
    </w:p>
    <w:p w14:paraId="28EB9123" w14:textId="77777777" w:rsidR="00E22BCF" w:rsidRPr="00E22BCF" w:rsidRDefault="00E22BCF" w:rsidP="00E22BCF">
      <w:pPr>
        <w:pStyle w:val="Heading3"/>
        <w:rPr>
          <w:color w:val="000000" w:themeColor="text1"/>
        </w:rPr>
      </w:pPr>
      <w:r w:rsidRPr="00E22BCF">
        <w:rPr>
          <w:color w:val="000000" w:themeColor="text1"/>
        </w:rPr>
        <w:t>Concurring, Roberts</w:t>
      </w:r>
    </w:p>
    <w:p w14:paraId="702BA58F" w14:textId="77777777" w:rsidR="00E22BCF" w:rsidRPr="00E22BCF" w:rsidRDefault="00E22BCF" w:rsidP="00E22BCF">
      <w:pPr>
        <w:pStyle w:val="Heading4"/>
        <w:rPr>
          <w:color w:val="000000" w:themeColor="text1"/>
        </w:rPr>
      </w:pPr>
      <w:r w:rsidRPr="00E22BCF">
        <w:rPr>
          <w:color w:val="000000" w:themeColor="text1"/>
        </w:rPr>
        <w:t>Due to stare decisis and the facts of this case, it must follow the Court’s binding precedent in Whole Woman’s health, even though he disagrees with both opinions</w:t>
      </w:r>
    </w:p>
    <w:p w14:paraId="557B417B" w14:textId="77777777" w:rsidR="00E22BCF" w:rsidRPr="00E22BCF" w:rsidRDefault="00E22BCF" w:rsidP="00E22BCF">
      <w:pPr>
        <w:pStyle w:val="Heading3"/>
        <w:rPr>
          <w:color w:val="000000" w:themeColor="text1"/>
        </w:rPr>
      </w:pPr>
      <w:r w:rsidRPr="00E22BCF">
        <w:rPr>
          <w:color w:val="000000" w:themeColor="text1"/>
        </w:rPr>
        <w:t>Dissent, Thomas</w:t>
      </w:r>
    </w:p>
    <w:p w14:paraId="748BE020" w14:textId="77777777" w:rsidR="00E22BCF" w:rsidRPr="00E22BCF" w:rsidRDefault="00E22BCF" w:rsidP="00E22BCF">
      <w:pPr>
        <w:pStyle w:val="Heading4"/>
        <w:rPr>
          <w:color w:val="000000" w:themeColor="text1"/>
        </w:rPr>
      </w:pPr>
      <w:r w:rsidRPr="00E22BCF">
        <w:rPr>
          <w:color w:val="000000" w:themeColor="text1"/>
        </w:rPr>
        <w:t>The plaintiffs here lack standing and the Court lacks authority to decide this case</w:t>
      </w:r>
    </w:p>
    <w:p w14:paraId="352220AA" w14:textId="77777777" w:rsidR="00E22BCF" w:rsidRPr="00E22BCF" w:rsidRDefault="00E22BCF" w:rsidP="00E22BCF">
      <w:pPr>
        <w:pStyle w:val="Heading3"/>
        <w:rPr>
          <w:color w:val="000000" w:themeColor="text1"/>
        </w:rPr>
      </w:pPr>
      <w:r w:rsidRPr="00E22BCF">
        <w:rPr>
          <w:color w:val="000000" w:themeColor="text1"/>
        </w:rPr>
        <w:t>Dissent, Alito</w:t>
      </w:r>
    </w:p>
    <w:p w14:paraId="794BE91B" w14:textId="77777777" w:rsidR="00E22BCF" w:rsidRPr="00E22BCF" w:rsidRDefault="00E22BCF" w:rsidP="00E22BCF">
      <w:pPr>
        <w:pStyle w:val="Heading4"/>
        <w:rPr>
          <w:color w:val="000000" w:themeColor="text1"/>
        </w:rPr>
      </w:pPr>
      <w:r w:rsidRPr="00E22BCF">
        <w:rPr>
          <w:color w:val="000000" w:themeColor="text1"/>
        </w:rPr>
        <w:t>The majority misuses the doctrine of stare decisis, invokes an inapplicable standard of appellate review, and distorts the record. He disagrees with the Court’s abandonment of the test in Casey</w:t>
      </w:r>
    </w:p>
    <w:p w14:paraId="703A985B" w14:textId="77777777" w:rsidR="00E22BCF" w:rsidRPr="00E22BCF" w:rsidRDefault="00E22BCF" w:rsidP="00E22BCF">
      <w:pPr>
        <w:pStyle w:val="Heading3"/>
        <w:rPr>
          <w:color w:val="000000" w:themeColor="text1"/>
        </w:rPr>
      </w:pPr>
      <w:r w:rsidRPr="00E22BCF">
        <w:rPr>
          <w:color w:val="000000" w:themeColor="text1"/>
        </w:rPr>
        <w:t>Dissent, Gorsuch</w:t>
      </w:r>
    </w:p>
    <w:p w14:paraId="12F3DC76" w14:textId="77777777" w:rsidR="00E22BCF" w:rsidRPr="00E22BCF" w:rsidRDefault="00E22BCF" w:rsidP="00E22BCF">
      <w:pPr>
        <w:pStyle w:val="Heading4"/>
        <w:rPr>
          <w:color w:val="000000" w:themeColor="text1"/>
        </w:rPr>
      </w:pPr>
      <w:r w:rsidRPr="00E22BCF">
        <w:rPr>
          <w:color w:val="000000" w:themeColor="text1"/>
        </w:rPr>
        <w:t>The Court exceeded its authority by deciding the case and striking down the law</w:t>
      </w:r>
    </w:p>
    <w:p w14:paraId="305D6905" w14:textId="77777777" w:rsidR="00E22BCF" w:rsidRPr="00E22BCF" w:rsidRDefault="00E22BCF" w:rsidP="00E22BCF">
      <w:pPr>
        <w:pStyle w:val="Heading3"/>
        <w:rPr>
          <w:color w:val="000000" w:themeColor="text1"/>
        </w:rPr>
      </w:pPr>
      <w:r w:rsidRPr="00E22BCF">
        <w:rPr>
          <w:color w:val="000000" w:themeColor="text1"/>
        </w:rPr>
        <w:t>Dissent, Kavanaugh</w:t>
      </w:r>
    </w:p>
    <w:p w14:paraId="0A92A99B" w14:textId="77777777" w:rsidR="00E22BCF" w:rsidRPr="00E22BCF" w:rsidRDefault="00E22BCF" w:rsidP="00E22BCF">
      <w:pPr>
        <w:pStyle w:val="Heading4"/>
        <w:rPr>
          <w:color w:val="000000" w:themeColor="text1"/>
        </w:rPr>
      </w:pPr>
      <w:r w:rsidRPr="00E22BCF">
        <w:rPr>
          <w:color w:val="000000" w:themeColor="text1"/>
        </w:rPr>
        <w:t>The case should be remanded for additional fact finding and that the record of the voting is not developed enough to evaluate Louisiana law</w:t>
      </w:r>
    </w:p>
    <w:p w14:paraId="3781490B" w14:textId="77777777" w:rsidR="00E22BCF" w:rsidRPr="00E22BCF" w:rsidRDefault="00E22BCF" w:rsidP="00E22BCF">
      <w:pPr>
        <w:pStyle w:val="Heading2"/>
        <w:rPr>
          <w:color w:val="000000" w:themeColor="text1"/>
        </w:rPr>
      </w:pPr>
      <w:r w:rsidRPr="00E22BCF">
        <w:rPr>
          <w:color w:val="000000" w:themeColor="text1"/>
        </w:rPr>
        <w:t>Precedent</w:t>
      </w:r>
    </w:p>
    <w:p w14:paraId="75DC0B80" w14:textId="77777777" w:rsidR="00E22BCF" w:rsidRPr="00E22BCF" w:rsidRDefault="00E22BCF" w:rsidP="00E22BCF">
      <w:pPr>
        <w:pStyle w:val="Heading3"/>
        <w:rPr>
          <w:i/>
          <w:iCs/>
          <w:color w:val="000000" w:themeColor="text1"/>
        </w:rPr>
      </w:pPr>
      <w:r w:rsidRPr="00E22BCF">
        <w:rPr>
          <w:i/>
          <w:iCs/>
          <w:color w:val="000000" w:themeColor="text1"/>
        </w:rPr>
        <w:t xml:space="preserve">Whole Woman’s Health v. </w:t>
      </w:r>
      <w:proofErr w:type="spellStart"/>
      <w:r w:rsidRPr="00E22BCF">
        <w:rPr>
          <w:i/>
          <w:iCs/>
          <w:color w:val="000000" w:themeColor="text1"/>
        </w:rPr>
        <w:t>Hellerstedt</w:t>
      </w:r>
      <w:proofErr w:type="spellEnd"/>
      <w:r w:rsidRPr="00E22BCF">
        <w:rPr>
          <w:i/>
          <w:iCs/>
          <w:color w:val="000000" w:themeColor="text1"/>
        </w:rPr>
        <w:t>,</w:t>
      </w:r>
      <w:r w:rsidRPr="00E22BCF">
        <w:rPr>
          <w:color w:val="000000" w:themeColor="text1"/>
        </w:rPr>
        <w:t xml:space="preserve"> 2016</w:t>
      </w:r>
    </w:p>
    <w:p w14:paraId="15B22BE8" w14:textId="77777777" w:rsidR="00E22BCF" w:rsidRPr="00E22BCF" w:rsidRDefault="00E22BCF" w:rsidP="00E22BCF">
      <w:pPr>
        <w:pStyle w:val="Heading3"/>
        <w:rPr>
          <w:i/>
          <w:iCs/>
          <w:color w:val="000000" w:themeColor="text1"/>
        </w:rPr>
      </w:pPr>
      <w:r w:rsidRPr="00E22BCF">
        <w:rPr>
          <w:rFonts w:eastAsia="Times New Roman"/>
          <w:i/>
          <w:iCs/>
          <w:color w:val="000000" w:themeColor="text1"/>
          <w:lang w:eastAsia="en-US"/>
        </w:rPr>
        <w:t>Planned Parenthood of Southeastern Pa. v. Casey</w:t>
      </w:r>
      <w:r w:rsidRPr="00E22BCF">
        <w:rPr>
          <w:i/>
          <w:iCs/>
          <w:color w:val="000000" w:themeColor="text1"/>
        </w:rPr>
        <w:t>,</w:t>
      </w:r>
      <w:r w:rsidRPr="00E22BCF">
        <w:rPr>
          <w:color w:val="000000" w:themeColor="text1"/>
        </w:rPr>
        <w:t xml:space="preserve"> 1992</w:t>
      </w:r>
    </w:p>
    <w:p w14:paraId="6F4B273D" w14:textId="77777777" w:rsidR="00E22BCF" w:rsidRPr="00E22BCF" w:rsidRDefault="00E22BCF" w:rsidP="00E22BCF">
      <w:pPr>
        <w:pStyle w:val="Heading2"/>
        <w:rPr>
          <w:color w:val="000000" w:themeColor="text1"/>
        </w:rPr>
      </w:pPr>
      <w:r w:rsidRPr="00E22BCF">
        <w:rPr>
          <w:color w:val="000000" w:themeColor="text1"/>
        </w:rPr>
        <w:t>Source of Law</w:t>
      </w:r>
    </w:p>
    <w:p w14:paraId="312D45B3" w14:textId="77777777" w:rsidR="00E22BCF" w:rsidRPr="00E22BCF" w:rsidRDefault="00E22BCF" w:rsidP="00E22BCF">
      <w:pPr>
        <w:pStyle w:val="Heading3"/>
        <w:rPr>
          <w:color w:val="000000" w:themeColor="text1"/>
        </w:rPr>
      </w:pPr>
      <w:r w:rsidRPr="00E22BCF">
        <w:rPr>
          <w:color w:val="000000" w:themeColor="text1"/>
        </w:rPr>
        <w:t>Precedent</w:t>
      </w:r>
    </w:p>
    <w:p w14:paraId="30D7A54B" w14:textId="77777777" w:rsidR="00E22BCF" w:rsidRPr="00E22BCF" w:rsidRDefault="00E22BCF" w:rsidP="00E22BCF">
      <w:pPr>
        <w:pStyle w:val="Heading3"/>
        <w:rPr>
          <w:color w:val="000000" w:themeColor="text1"/>
        </w:rPr>
      </w:pPr>
      <w:r w:rsidRPr="00E22BCF">
        <w:rPr>
          <w:color w:val="000000" w:themeColor="text1"/>
        </w:rPr>
        <w:t>Due Process</w:t>
      </w:r>
    </w:p>
    <w:p w14:paraId="5BECE9BD" w14:textId="77777777" w:rsidR="00E22BCF" w:rsidRPr="00E22BCF" w:rsidRDefault="00E22BCF" w:rsidP="00E22BCF">
      <w:pPr>
        <w:pStyle w:val="Heading2"/>
        <w:rPr>
          <w:color w:val="000000" w:themeColor="text1"/>
        </w:rPr>
      </w:pPr>
      <w:r w:rsidRPr="00E22BCF">
        <w:rPr>
          <w:color w:val="000000" w:themeColor="text1"/>
        </w:rPr>
        <w:t>Values</w:t>
      </w:r>
    </w:p>
    <w:p w14:paraId="2ACFDA0B" w14:textId="77777777" w:rsidR="00E22BCF" w:rsidRPr="00E22BCF" w:rsidRDefault="00E22BCF" w:rsidP="00E22BCF">
      <w:pPr>
        <w:pStyle w:val="Heading3"/>
        <w:rPr>
          <w:color w:val="000000" w:themeColor="text1"/>
        </w:rPr>
      </w:pPr>
      <w:r w:rsidRPr="00E22BCF">
        <w:rPr>
          <w:color w:val="000000" w:themeColor="text1"/>
        </w:rPr>
        <w:lastRenderedPageBreak/>
        <w:t>Undue burden v. Burden of proof</w:t>
      </w:r>
    </w:p>
    <w:p w14:paraId="02EC9E6F" w14:textId="77777777" w:rsidR="00E22BCF" w:rsidRPr="00E22BCF" w:rsidRDefault="00E22BCF" w:rsidP="00E22BCF">
      <w:pPr>
        <w:pStyle w:val="Heading3"/>
        <w:rPr>
          <w:color w:val="000000" w:themeColor="text1"/>
        </w:rPr>
      </w:pPr>
      <w:r w:rsidRPr="00E22BCF">
        <w:rPr>
          <w:color w:val="000000" w:themeColor="text1"/>
        </w:rPr>
        <w:t>Constitutionality v. Precedent</w:t>
      </w:r>
    </w:p>
    <w:p w14:paraId="4A86B1E9" w14:textId="77777777" w:rsidR="00E22BCF" w:rsidRPr="00E22BCF" w:rsidRDefault="00E22BCF" w:rsidP="00E22BCF">
      <w:pPr>
        <w:pStyle w:val="Heading3"/>
        <w:rPr>
          <w:color w:val="000000" w:themeColor="text1"/>
        </w:rPr>
      </w:pPr>
      <w:r w:rsidRPr="00E22BCF">
        <w:rPr>
          <w:color w:val="000000" w:themeColor="text1"/>
        </w:rPr>
        <w:t>Standing v. No standing</w:t>
      </w:r>
    </w:p>
    <w:p w14:paraId="2C640A38" w14:textId="77777777" w:rsidR="00E22BCF" w:rsidRPr="00E22BCF" w:rsidRDefault="00E22BCF" w:rsidP="00E22BCF">
      <w:pPr>
        <w:pStyle w:val="Heading2"/>
        <w:rPr>
          <w:color w:val="000000" w:themeColor="text1"/>
        </w:rPr>
      </w:pPr>
      <w:r w:rsidRPr="00E22BCF">
        <w:rPr>
          <w:color w:val="000000" w:themeColor="text1"/>
        </w:rPr>
        <w:t>Impact</w:t>
      </w:r>
    </w:p>
    <w:p w14:paraId="14E8D745" w14:textId="77777777" w:rsidR="00E22BCF" w:rsidRDefault="00E22BCF" w:rsidP="00E22BCF">
      <w:pPr>
        <w:pStyle w:val="Heading3"/>
      </w:pPr>
      <w:r w:rsidRPr="00E22BCF">
        <w:rPr>
          <w:color w:val="000000" w:themeColor="text1"/>
        </w:rPr>
        <w:t>Women in the state of Louisiana have constitutional access to abortion clinics near them</w:t>
      </w:r>
    </w:p>
    <w:p w14:paraId="7CE07FB7" w14:textId="77777777" w:rsidR="008138AF" w:rsidRDefault="008138AF"/>
    <w:sectPr w:rsidR="00813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B0E3A"/>
    <w:multiLevelType w:val="multilevel"/>
    <w:tmpl w:val="C7D0EF6E"/>
    <w:lvl w:ilvl="0">
      <w:start w:val="1"/>
      <w:numFmt w:val="decimal"/>
      <w:pStyle w:val="Heading1"/>
      <w:lvlText w:val="%1."/>
      <w:lvlJc w:val="left"/>
      <w:pPr>
        <w:ind w:left="360" w:hanging="360"/>
      </w:pPr>
    </w:lvl>
    <w:lvl w:ilvl="1">
      <w:start w:val="1"/>
      <w:numFmt w:val="upperLetter"/>
      <w:pStyle w:val="Heading2"/>
      <w:lvlText w:val="%2."/>
      <w:lvlJc w:val="left"/>
      <w:pPr>
        <w:ind w:left="720" w:hanging="360"/>
      </w:pPr>
    </w:lvl>
    <w:lvl w:ilvl="2">
      <w:start w:val="1"/>
      <w:numFmt w:val="lowerRoman"/>
      <w:pStyle w:val="Heading3"/>
      <w:lvlText w:val="%3."/>
      <w:lvlJc w:val="right"/>
      <w:pPr>
        <w:ind w:left="1080" w:hanging="360"/>
      </w:pPr>
    </w:lvl>
    <w:lvl w:ilvl="3">
      <w:start w:val="1"/>
      <w:numFmt w:val="decimal"/>
      <w:pStyle w:val="Heading4"/>
      <w:lvlText w:val="%4."/>
      <w:lvlJc w:val="left"/>
      <w:pPr>
        <w:ind w:left="1440" w:hanging="360"/>
      </w:pPr>
      <w:rPr>
        <w:rFonts w:asciiTheme="majorHAnsi" w:eastAsiaTheme="majorEastAsia" w:hAnsiTheme="majorHAnsi" w:cstheme="majorBidi"/>
      </w:rPr>
    </w:lvl>
    <w:lvl w:ilvl="4">
      <w:start w:val="1"/>
      <w:numFmt w:val="lowerLetter"/>
      <w:pStyle w:val="Heading5"/>
      <w:lvlText w:val="%5."/>
      <w:lvlJc w:val="left"/>
      <w:pPr>
        <w:ind w:left="1800" w:hanging="360"/>
      </w:pPr>
    </w:lvl>
    <w:lvl w:ilvl="5">
      <w:start w:val="1"/>
      <w:numFmt w:val="lowerRoman"/>
      <w:pStyle w:val="Heading6"/>
      <w:lvlText w:val="%6."/>
      <w:lvlJc w:val="right"/>
      <w:pPr>
        <w:ind w:left="2160" w:hanging="360"/>
      </w:pPr>
    </w:lvl>
    <w:lvl w:ilvl="6">
      <w:start w:val="1"/>
      <w:numFmt w:val="decimal"/>
      <w:pStyle w:val="Heading7"/>
      <w:lvlText w:val="%7."/>
      <w:lvlJc w:val="left"/>
      <w:pPr>
        <w:ind w:left="2520" w:hanging="360"/>
      </w:pPr>
    </w:lvl>
    <w:lvl w:ilvl="7">
      <w:start w:val="1"/>
      <w:numFmt w:val="lowerLetter"/>
      <w:pStyle w:val="Heading8"/>
      <w:lvlText w:val="%8."/>
      <w:lvlJc w:val="left"/>
      <w:pPr>
        <w:ind w:left="2880" w:hanging="360"/>
      </w:pPr>
    </w:lvl>
    <w:lvl w:ilvl="8">
      <w:start w:val="1"/>
      <w:numFmt w:val="lowerRoman"/>
      <w:pStyle w:val="Heading9"/>
      <w:lvlText w:val="%9."/>
      <w:lvlJc w:val="righ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CF"/>
    <w:rsid w:val="008138AF"/>
    <w:rsid w:val="00E22BCF"/>
    <w:rsid w:val="00E90CDE"/>
    <w:rsid w:val="00FE5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1A42"/>
  <w15:chartTrackingRefBased/>
  <w15:docId w15:val="{BDF1662A-F91C-47C5-A58B-7EB0B9A8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BCF"/>
    <w:pPr>
      <w:spacing w:after="120" w:line="288" w:lineRule="auto"/>
      <w:ind w:left="360"/>
    </w:pPr>
    <w:rPr>
      <w:rFonts w:asciiTheme="minorHAnsi" w:hAnsiTheme="minorHAnsi" w:cstheme="minorBidi"/>
      <w:color w:val="4472C4" w:themeColor="accent1"/>
      <w:sz w:val="22"/>
      <w:szCs w:val="22"/>
      <w:lang w:eastAsia="ja-JP"/>
    </w:rPr>
  </w:style>
  <w:style w:type="paragraph" w:styleId="Heading1">
    <w:name w:val="heading 1"/>
    <w:basedOn w:val="Normal"/>
    <w:link w:val="Heading1Char"/>
    <w:uiPriority w:val="9"/>
    <w:qFormat/>
    <w:rsid w:val="00E22BCF"/>
    <w:pPr>
      <w:numPr>
        <w:numId w:val="1"/>
      </w:numPr>
      <w:spacing w:before="600" w:after="60"/>
      <w:outlineLvl w:val="0"/>
    </w:pPr>
    <w:rPr>
      <w:rFonts w:asciiTheme="majorHAnsi" w:eastAsia="Times New Roman" w:hAnsiTheme="majorHAnsi" w:cs="Times New Roman"/>
      <w:caps/>
      <w:color w:val="ED7D31" w:themeColor="accent2"/>
      <w:spacing w:val="14"/>
      <w:sz w:val="26"/>
      <w:szCs w:val="26"/>
    </w:rPr>
  </w:style>
  <w:style w:type="paragraph" w:styleId="Heading2">
    <w:name w:val="heading 2"/>
    <w:basedOn w:val="Normal"/>
    <w:link w:val="Heading2Char"/>
    <w:uiPriority w:val="9"/>
    <w:semiHidden/>
    <w:unhideWhenUsed/>
    <w:qFormat/>
    <w:rsid w:val="00E22BCF"/>
    <w:pPr>
      <w:numPr>
        <w:ilvl w:val="1"/>
        <w:numId w:val="1"/>
      </w:numPr>
      <w:spacing w:before="40"/>
      <w:outlineLvl w:val="1"/>
    </w:pPr>
    <w:rPr>
      <w:rFonts w:asciiTheme="majorHAnsi" w:eastAsiaTheme="majorEastAsia" w:hAnsiTheme="majorHAnsi" w:cstheme="majorBidi"/>
      <w:color w:val="ED7D31" w:themeColor="accent2"/>
      <w:szCs w:val="26"/>
    </w:rPr>
  </w:style>
  <w:style w:type="paragraph" w:styleId="Heading3">
    <w:name w:val="heading 3"/>
    <w:basedOn w:val="Normal"/>
    <w:link w:val="Heading3Char"/>
    <w:uiPriority w:val="9"/>
    <w:semiHidden/>
    <w:unhideWhenUsed/>
    <w:qFormat/>
    <w:rsid w:val="00E22BCF"/>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semiHidden/>
    <w:unhideWhenUsed/>
    <w:qFormat/>
    <w:rsid w:val="00E22BCF"/>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rsid w:val="00E22BCF"/>
    <w:pPr>
      <w:numPr>
        <w:ilvl w:val="4"/>
        <w:numId w:val="1"/>
      </w:numPr>
      <w:spacing w:before="40" w:after="0"/>
      <w:outlineLvl w:val="4"/>
    </w:pPr>
    <w:rPr>
      <w:rFonts w:asciiTheme="majorHAnsi" w:eastAsiaTheme="majorEastAsia" w:hAnsiTheme="majorHAnsi" w:cstheme="majorBidi"/>
      <w:i/>
      <w:color w:val="ED7D31" w:themeColor="accent2"/>
      <w:spacing w:val="6"/>
    </w:rPr>
  </w:style>
  <w:style w:type="paragraph" w:styleId="Heading6">
    <w:name w:val="heading 6"/>
    <w:basedOn w:val="Normal"/>
    <w:link w:val="Heading6Char"/>
    <w:uiPriority w:val="9"/>
    <w:semiHidden/>
    <w:unhideWhenUsed/>
    <w:qFormat/>
    <w:rsid w:val="00E22BCF"/>
    <w:pPr>
      <w:numPr>
        <w:ilvl w:val="5"/>
        <w:numId w:val="1"/>
      </w:numPr>
      <w:spacing w:before="40" w:after="0"/>
      <w:outlineLvl w:val="5"/>
    </w:pPr>
    <w:rPr>
      <w:rFonts w:asciiTheme="majorHAnsi" w:eastAsiaTheme="majorEastAsia" w:hAnsiTheme="majorHAnsi" w:cstheme="majorBidi"/>
      <w:color w:val="ED7D31" w:themeColor="accent2"/>
      <w:spacing w:val="12"/>
    </w:rPr>
  </w:style>
  <w:style w:type="paragraph" w:styleId="Heading7">
    <w:name w:val="heading 7"/>
    <w:basedOn w:val="Normal"/>
    <w:link w:val="Heading7Char"/>
    <w:uiPriority w:val="9"/>
    <w:semiHidden/>
    <w:unhideWhenUsed/>
    <w:qFormat/>
    <w:rsid w:val="00E22BCF"/>
    <w:pPr>
      <w:numPr>
        <w:ilvl w:val="6"/>
        <w:numId w:val="1"/>
      </w:numPr>
      <w:spacing w:before="40" w:after="0"/>
      <w:outlineLvl w:val="6"/>
    </w:pPr>
    <w:rPr>
      <w:rFonts w:asciiTheme="majorHAnsi" w:eastAsiaTheme="majorEastAsia" w:hAnsiTheme="majorHAnsi" w:cstheme="majorBidi"/>
      <w:iCs/>
      <w:color w:val="ED7D31" w:themeColor="accent2"/>
    </w:rPr>
  </w:style>
  <w:style w:type="paragraph" w:styleId="Heading8">
    <w:name w:val="heading 8"/>
    <w:basedOn w:val="Normal"/>
    <w:link w:val="Heading8Char"/>
    <w:uiPriority w:val="9"/>
    <w:semiHidden/>
    <w:unhideWhenUsed/>
    <w:qFormat/>
    <w:rsid w:val="00E22BCF"/>
    <w:pPr>
      <w:numPr>
        <w:ilvl w:val="7"/>
        <w:numId w:val="1"/>
      </w:numPr>
      <w:spacing w:before="40" w:after="0"/>
      <w:outlineLvl w:val="7"/>
    </w:pPr>
    <w:rPr>
      <w:rFonts w:asciiTheme="majorHAnsi" w:eastAsiaTheme="majorEastAsia" w:hAnsiTheme="majorHAnsi" w:cstheme="majorBidi"/>
      <w:i/>
      <w:color w:val="F19D64" w:themeColor="accent2" w:themeTint="BF"/>
      <w:szCs w:val="21"/>
    </w:rPr>
  </w:style>
  <w:style w:type="paragraph" w:styleId="Heading9">
    <w:name w:val="heading 9"/>
    <w:basedOn w:val="Normal"/>
    <w:link w:val="Heading9Char"/>
    <w:uiPriority w:val="9"/>
    <w:semiHidden/>
    <w:unhideWhenUsed/>
    <w:qFormat/>
    <w:rsid w:val="00E22BCF"/>
    <w:pPr>
      <w:numPr>
        <w:ilvl w:val="8"/>
        <w:numId w:val="1"/>
      </w:numPr>
      <w:spacing w:before="40" w:after="0"/>
      <w:outlineLvl w:val="8"/>
    </w:pPr>
    <w:rPr>
      <w:rFonts w:asciiTheme="majorHAnsi" w:eastAsiaTheme="majorEastAsia" w:hAnsiTheme="majorHAnsi" w:cstheme="majorBidi"/>
      <w:iCs/>
      <w:color w:val="F19D64"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BCF"/>
    <w:rPr>
      <w:rFonts w:asciiTheme="majorHAnsi" w:eastAsia="Times New Roman" w:hAnsiTheme="majorHAnsi" w:cs="Times New Roman"/>
      <w:caps/>
      <w:color w:val="ED7D31" w:themeColor="accent2"/>
      <w:spacing w:val="14"/>
      <w:sz w:val="26"/>
      <w:szCs w:val="26"/>
      <w:lang w:eastAsia="ja-JP"/>
    </w:rPr>
  </w:style>
  <w:style w:type="character" w:customStyle="1" w:styleId="Heading2Char">
    <w:name w:val="Heading 2 Char"/>
    <w:basedOn w:val="DefaultParagraphFont"/>
    <w:link w:val="Heading2"/>
    <w:uiPriority w:val="9"/>
    <w:semiHidden/>
    <w:rsid w:val="00E22BCF"/>
    <w:rPr>
      <w:rFonts w:asciiTheme="majorHAnsi" w:eastAsiaTheme="majorEastAsia" w:hAnsiTheme="majorHAnsi" w:cstheme="majorBidi"/>
      <w:color w:val="ED7D31" w:themeColor="accent2"/>
      <w:sz w:val="22"/>
      <w:szCs w:val="26"/>
      <w:lang w:eastAsia="ja-JP"/>
    </w:rPr>
  </w:style>
  <w:style w:type="character" w:customStyle="1" w:styleId="Heading3Char">
    <w:name w:val="Heading 3 Char"/>
    <w:basedOn w:val="DefaultParagraphFont"/>
    <w:link w:val="Heading3"/>
    <w:uiPriority w:val="9"/>
    <w:semiHidden/>
    <w:rsid w:val="00E22BCF"/>
    <w:rPr>
      <w:rFonts w:asciiTheme="majorHAnsi" w:eastAsiaTheme="majorEastAsia" w:hAnsiTheme="majorHAnsi" w:cstheme="majorBidi"/>
      <w:color w:val="4472C4" w:themeColor="accent1"/>
      <w:sz w:val="22"/>
      <w:szCs w:val="24"/>
      <w:lang w:eastAsia="ja-JP"/>
    </w:rPr>
  </w:style>
  <w:style w:type="character" w:customStyle="1" w:styleId="Heading4Char">
    <w:name w:val="Heading 4 Char"/>
    <w:basedOn w:val="DefaultParagraphFont"/>
    <w:link w:val="Heading4"/>
    <w:uiPriority w:val="9"/>
    <w:semiHidden/>
    <w:rsid w:val="00E22BCF"/>
    <w:rPr>
      <w:rFonts w:asciiTheme="majorHAnsi" w:eastAsiaTheme="majorEastAsia" w:hAnsiTheme="majorHAnsi" w:cstheme="majorBidi"/>
      <w:i/>
      <w:iCs/>
      <w:color w:val="4472C4" w:themeColor="accent1"/>
      <w:spacing w:val="6"/>
      <w:sz w:val="22"/>
      <w:szCs w:val="22"/>
      <w:lang w:eastAsia="ja-JP"/>
    </w:rPr>
  </w:style>
  <w:style w:type="character" w:customStyle="1" w:styleId="Heading5Char">
    <w:name w:val="Heading 5 Char"/>
    <w:basedOn w:val="DefaultParagraphFont"/>
    <w:link w:val="Heading5"/>
    <w:uiPriority w:val="9"/>
    <w:semiHidden/>
    <w:rsid w:val="00E22BCF"/>
    <w:rPr>
      <w:rFonts w:asciiTheme="majorHAnsi" w:eastAsiaTheme="majorEastAsia" w:hAnsiTheme="majorHAnsi" w:cstheme="majorBidi"/>
      <w:i/>
      <w:color w:val="ED7D31" w:themeColor="accent2"/>
      <w:spacing w:val="6"/>
      <w:sz w:val="22"/>
      <w:szCs w:val="22"/>
      <w:lang w:eastAsia="ja-JP"/>
    </w:rPr>
  </w:style>
  <w:style w:type="character" w:customStyle="1" w:styleId="Heading6Char">
    <w:name w:val="Heading 6 Char"/>
    <w:basedOn w:val="DefaultParagraphFont"/>
    <w:link w:val="Heading6"/>
    <w:uiPriority w:val="9"/>
    <w:semiHidden/>
    <w:rsid w:val="00E22BCF"/>
    <w:rPr>
      <w:rFonts w:asciiTheme="majorHAnsi" w:eastAsiaTheme="majorEastAsia" w:hAnsiTheme="majorHAnsi" w:cstheme="majorBidi"/>
      <w:color w:val="ED7D31" w:themeColor="accent2"/>
      <w:spacing w:val="12"/>
      <w:sz w:val="22"/>
      <w:szCs w:val="22"/>
      <w:lang w:eastAsia="ja-JP"/>
    </w:rPr>
  </w:style>
  <w:style w:type="character" w:customStyle="1" w:styleId="Heading7Char">
    <w:name w:val="Heading 7 Char"/>
    <w:basedOn w:val="DefaultParagraphFont"/>
    <w:link w:val="Heading7"/>
    <w:uiPriority w:val="9"/>
    <w:semiHidden/>
    <w:rsid w:val="00E22BCF"/>
    <w:rPr>
      <w:rFonts w:asciiTheme="majorHAnsi" w:eastAsiaTheme="majorEastAsia" w:hAnsiTheme="majorHAnsi" w:cstheme="majorBidi"/>
      <w:iCs/>
      <w:color w:val="ED7D31" w:themeColor="accent2"/>
      <w:sz w:val="22"/>
      <w:szCs w:val="22"/>
      <w:lang w:eastAsia="ja-JP"/>
    </w:rPr>
  </w:style>
  <w:style w:type="character" w:customStyle="1" w:styleId="Heading8Char">
    <w:name w:val="Heading 8 Char"/>
    <w:basedOn w:val="DefaultParagraphFont"/>
    <w:link w:val="Heading8"/>
    <w:uiPriority w:val="9"/>
    <w:semiHidden/>
    <w:rsid w:val="00E22BCF"/>
    <w:rPr>
      <w:rFonts w:asciiTheme="majorHAnsi" w:eastAsiaTheme="majorEastAsia" w:hAnsiTheme="majorHAnsi" w:cstheme="majorBidi"/>
      <w:i/>
      <w:color w:val="F19D64" w:themeColor="accent2" w:themeTint="BF"/>
      <w:sz w:val="22"/>
      <w:szCs w:val="21"/>
      <w:lang w:eastAsia="ja-JP"/>
    </w:rPr>
  </w:style>
  <w:style w:type="character" w:customStyle="1" w:styleId="Heading9Char">
    <w:name w:val="Heading 9 Char"/>
    <w:basedOn w:val="DefaultParagraphFont"/>
    <w:link w:val="Heading9"/>
    <w:uiPriority w:val="9"/>
    <w:semiHidden/>
    <w:rsid w:val="00E22BCF"/>
    <w:rPr>
      <w:rFonts w:asciiTheme="majorHAnsi" w:eastAsiaTheme="majorEastAsia" w:hAnsiTheme="majorHAnsi" w:cstheme="majorBidi"/>
      <w:iCs/>
      <w:color w:val="F19D64" w:themeColor="accent2" w:themeTint="BF"/>
      <w:sz w:val="22"/>
      <w:szCs w:val="21"/>
      <w:lang w:eastAsia="ja-JP"/>
    </w:rPr>
  </w:style>
  <w:style w:type="paragraph" w:styleId="CommentText">
    <w:name w:val="annotation text"/>
    <w:basedOn w:val="Normal"/>
    <w:link w:val="CommentTextChar"/>
    <w:uiPriority w:val="99"/>
    <w:semiHidden/>
    <w:unhideWhenUsed/>
    <w:rsid w:val="00E22BCF"/>
    <w:pPr>
      <w:spacing w:line="240" w:lineRule="auto"/>
    </w:pPr>
    <w:rPr>
      <w:sz w:val="20"/>
      <w:szCs w:val="20"/>
    </w:rPr>
  </w:style>
  <w:style w:type="character" w:customStyle="1" w:styleId="CommentTextChar">
    <w:name w:val="Comment Text Char"/>
    <w:basedOn w:val="DefaultParagraphFont"/>
    <w:link w:val="CommentText"/>
    <w:uiPriority w:val="99"/>
    <w:semiHidden/>
    <w:rsid w:val="00E22BCF"/>
    <w:rPr>
      <w:rFonts w:asciiTheme="minorHAnsi" w:hAnsiTheme="minorHAnsi" w:cstheme="minorBidi"/>
      <w:color w:val="4472C4" w:themeColor="accent1"/>
      <w:sz w:val="20"/>
      <w:szCs w:val="20"/>
      <w:lang w:eastAsia="ja-JP"/>
    </w:rPr>
  </w:style>
  <w:style w:type="character" w:styleId="CommentReference">
    <w:name w:val="annotation reference"/>
    <w:basedOn w:val="DefaultParagraphFont"/>
    <w:uiPriority w:val="99"/>
    <w:semiHidden/>
    <w:unhideWhenUsed/>
    <w:rsid w:val="00E22B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44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3</cp:revision>
  <dcterms:created xsi:type="dcterms:W3CDTF">2021-11-26T02:27:00Z</dcterms:created>
  <dcterms:modified xsi:type="dcterms:W3CDTF">2021-11-26T03:18:00Z</dcterms:modified>
</cp:coreProperties>
</file>