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4A2F" w14:textId="77777777" w:rsidR="008F0F8D" w:rsidRDefault="008F0F8D" w:rsidP="008F0F8D">
      <w:pPr>
        <w:pStyle w:val="Heading1"/>
        <w:ind w:left="0" w:firstLine="0"/>
      </w:pPr>
      <w:proofErr w:type="spellStart"/>
      <w:r>
        <w:t>Majanoy</w:t>
      </w:r>
      <w:proofErr w:type="spellEnd"/>
      <w:r>
        <w:t xml:space="preserve"> Area School District v. B.L.</w:t>
      </w:r>
    </w:p>
    <w:p w14:paraId="6E43AE69" w14:textId="77777777" w:rsidR="008F0F8D" w:rsidRDefault="008F0F8D" w:rsidP="008F0F8D">
      <w:pPr>
        <w:pStyle w:val="Heading2"/>
      </w:pPr>
      <w:r>
        <w:t>Facts:</w:t>
      </w:r>
    </w:p>
    <w:p w14:paraId="3586DAF8" w14:textId="77777777" w:rsidR="008F0F8D" w:rsidRDefault="008F0F8D" w:rsidP="008F0F8D">
      <w:pPr>
        <w:pStyle w:val="Heading3"/>
      </w:pPr>
      <w:r>
        <w:t>B.L., a student at Mahanoy Area High School (</w:t>
      </w:r>
      <w:proofErr w:type="spellStart"/>
      <w:r>
        <w:t>MAHS</w:t>
      </w:r>
      <w:proofErr w:type="spellEnd"/>
      <w:r>
        <w:t xml:space="preserve">) posted a picture of herself on Snapchat with the caption “Fuck school fuck softball fuck cheer fuck everything.” The coaches decided </w:t>
      </w:r>
      <w:proofErr w:type="spellStart"/>
      <w:r>
        <w:t>B.L.’s</w:t>
      </w:r>
      <w:proofErr w:type="spellEnd"/>
      <w:r>
        <w:t xml:space="preserve"> snap violated team and school rules, which B.L. had acknowledged before joining the team, and she was suspended from the junior varsity team for a year. </w:t>
      </w:r>
    </w:p>
    <w:p w14:paraId="118B3A6E" w14:textId="77777777" w:rsidR="008F0F8D" w:rsidRDefault="008F0F8D" w:rsidP="008F0F8D">
      <w:pPr>
        <w:pStyle w:val="Heading2"/>
      </w:pPr>
      <w:r>
        <w:t>Procedural History</w:t>
      </w:r>
    </w:p>
    <w:p w14:paraId="254D5BBD" w14:textId="77777777" w:rsidR="008F0F8D" w:rsidRDefault="008F0F8D" w:rsidP="008F0F8D">
      <w:pPr>
        <w:pStyle w:val="Heading3"/>
      </w:pPr>
      <w:r>
        <w:t xml:space="preserve">District Court granted summary judgement in </w:t>
      </w:r>
      <w:proofErr w:type="spellStart"/>
      <w:proofErr w:type="gramStart"/>
      <w:r>
        <w:t>B.L’s</w:t>
      </w:r>
      <w:proofErr w:type="spellEnd"/>
      <w:proofErr w:type="gramEnd"/>
      <w:r>
        <w:t xml:space="preserve"> favor, ruling the school violated her first amendment rights</w:t>
      </w:r>
    </w:p>
    <w:p w14:paraId="23C529F8" w14:textId="77777777" w:rsidR="008F0F8D" w:rsidRDefault="008F0F8D" w:rsidP="008F0F8D">
      <w:pPr>
        <w:pStyle w:val="Heading3"/>
      </w:pPr>
      <w:r>
        <w:t>U.S. Court of Appeals for Third Circuit Affirmed</w:t>
      </w:r>
    </w:p>
    <w:p w14:paraId="63F93DBF" w14:textId="77777777" w:rsidR="008F0F8D" w:rsidRPr="008F0F8D" w:rsidRDefault="008F0F8D" w:rsidP="008F0F8D">
      <w:pPr>
        <w:pStyle w:val="Heading2"/>
        <w:tabs>
          <w:tab w:val="left" w:pos="720"/>
        </w:tabs>
        <w:ind w:left="0" w:firstLine="0"/>
      </w:pPr>
      <w:r>
        <w:t>Issue:</w:t>
      </w:r>
      <w:r>
        <w:t xml:space="preserve">    </w:t>
      </w:r>
      <w:r w:rsidRPr="008F0F8D">
        <w:rPr>
          <w:color w:val="8EAADB" w:themeColor="accent1" w:themeTint="99"/>
        </w:rPr>
        <w:t>Does the 1</w:t>
      </w:r>
      <w:r w:rsidRPr="008F0F8D">
        <w:rPr>
          <w:color w:val="8EAADB" w:themeColor="accent1" w:themeTint="99"/>
          <w:vertAlign w:val="superscript"/>
        </w:rPr>
        <w:t>st</w:t>
      </w:r>
      <w:r w:rsidRPr="008F0F8D">
        <w:rPr>
          <w:color w:val="8EAADB" w:themeColor="accent1" w:themeTint="99"/>
        </w:rPr>
        <w:t xml:space="preserve"> amendment protect students’ speech from regulation by their school if they are off campu</w:t>
      </w:r>
      <w:r w:rsidRPr="008F0F8D">
        <w:rPr>
          <w:color w:val="8EAADB" w:themeColor="accent1" w:themeTint="99"/>
        </w:rPr>
        <w:t>s.</w:t>
      </w:r>
      <w:r>
        <w:rPr>
          <w:color w:val="8EAADB" w:themeColor="accent1" w:themeTint="99"/>
        </w:rPr>
        <w:br/>
      </w:r>
    </w:p>
    <w:p w14:paraId="5DA11498" w14:textId="77777777" w:rsidR="008F0F8D" w:rsidRPr="008F0F8D" w:rsidRDefault="008F0F8D" w:rsidP="008F0F8D">
      <w:pPr>
        <w:pStyle w:val="Heading2"/>
        <w:tabs>
          <w:tab w:val="left" w:pos="720"/>
        </w:tabs>
        <w:ind w:left="0" w:firstLine="0"/>
      </w:pPr>
      <w:r>
        <w:t>Holding.</w:t>
      </w:r>
      <w:r>
        <w:rPr>
          <w:color w:val="8EAADB" w:themeColor="accent1" w:themeTint="99"/>
        </w:rPr>
        <w:t xml:space="preserve">  </w:t>
      </w:r>
      <w:proofErr w:type="gramStart"/>
      <w:r>
        <w:rPr>
          <w:color w:val="8EAADB" w:themeColor="accent1" w:themeTint="99"/>
        </w:rPr>
        <w:t>Yes</w:t>
      </w:r>
      <w:proofErr w:type="gramEnd"/>
      <w:r>
        <w:rPr>
          <w:color w:val="8EAADB" w:themeColor="accent1" w:themeTint="99"/>
        </w:rPr>
        <w:t xml:space="preserve"> in this case and there are fact situations where the school can regulate off </w:t>
      </w:r>
      <w:proofErr w:type="spellStart"/>
      <w:r>
        <w:rPr>
          <w:color w:val="8EAADB" w:themeColor="accent1" w:themeTint="99"/>
        </w:rPr>
        <w:t>camuse</w:t>
      </w:r>
      <w:proofErr w:type="spellEnd"/>
      <w:r>
        <w:rPr>
          <w:color w:val="8EAADB" w:themeColor="accent1" w:themeTint="99"/>
        </w:rPr>
        <w:t xml:space="preserve"> </w:t>
      </w:r>
      <w:proofErr w:type="spellStart"/>
      <w:r>
        <w:rPr>
          <w:color w:val="8EAADB" w:themeColor="accent1" w:themeTint="99"/>
        </w:rPr>
        <w:t>speecn</w:t>
      </w:r>
      <w:proofErr w:type="spellEnd"/>
    </w:p>
    <w:p w14:paraId="264215A8" w14:textId="7397AD59" w:rsidR="008F0F8D" w:rsidRDefault="008F0F8D" w:rsidP="008F0F8D">
      <w:pPr>
        <w:pStyle w:val="Heading2"/>
        <w:numPr>
          <w:ilvl w:val="0"/>
          <w:numId w:val="0"/>
        </w:numPr>
        <w:ind w:left="720"/>
      </w:pPr>
      <w:r>
        <w:t>E Argument for B.L.</w:t>
      </w:r>
    </w:p>
    <w:p w14:paraId="504585DA" w14:textId="77777777" w:rsidR="008F0F8D" w:rsidRDefault="008F0F8D" w:rsidP="008F0F8D">
      <w:pPr>
        <w:pStyle w:val="Heading3"/>
      </w:pPr>
      <w:proofErr w:type="spellStart"/>
      <w:r>
        <w:t>B.L</w:t>
      </w:r>
      <w:proofErr w:type="spellEnd"/>
    </w:p>
    <w:p w14:paraId="162CE266" w14:textId="77777777" w:rsidR="008F0F8D" w:rsidRDefault="008F0F8D" w:rsidP="008F0F8D">
      <w:pPr>
        <w:pStyle w:val="Heading4"/>
      </w:pPr>
      <w:r>
        <w:t xml:space="preserve">B.L. sued the school under 42 U.S.C. § 1983 alleging (1) that her suspension from the team violated the First Amendment; (2) that the school and team rules were overbroad and viewpoint discriminatory; and (3) that those rules were unconstitutionally vague. </w:t>
      </w:r>
    </w:p>
    <w:p w14:paraId="4A267EE6" w14:textId="61335DAC" w:rsidR="008F0F8D" w:rsidRDefault="008F0F8D" w:rsidP="00E1670A">
      <w:pPr>
        <w:pStyle w:val="Heading2"/>
      </w:pPr>
      <w:r>
        <w:t xml:space="preserve">Legal </w:t>
      </w:r>
      <w:proofErr w:type="gramStart"/>
      <w:r>
        <w:t>Reasoning</w:t>
      </w:r>
      <w:r w:rsidR="00E1670A">
        <w:t xml:space="preserve">  </w:t>
      </w:r>
      <w:r>
        <w:t>Majority</w:t>
      </w:r>
      <w:proofErr w:type="gramEnd"/>
      <w:r>
        <w:t>,</w:t>
      </w:r>
      <w:r>
        <w:t>(8-1)</w:t>
      </w:r>
    </w:p>
    <w:p w14:paraId="05B09BC7" w14:textId="77777777" w:rsidR="00473685" w:rsidRDefault="00473685" w:rsidP="00E1670A">
      <w:pPr>
        <w:pStyle w:val="Heading3"/>
        <w:numPr>
          <w:ilvl w:val="0"/>
          <w:numId w:val="0"/>
        </w:numPr>
        <w:ind w:left="1080"/>
      </w:pPr>
    </w:p>
    <w:p w14:paraId="1DEC66D1" w14:textId="407FA5FD" w:rsidR="00473685" w:rsidRPr="00473685" w:rsidRDefault="00473685" w:rsidP="00473685">
      <w:pPr>
        <w:pStyle w:val="NormalWeb"/>
        <w:rPr>
          <w:rFonts w:ascii="Calibri Light" w:hAnsi="Calibri Light" w:cs="Calibri Light"/>
          <w:color w:val="8EAADB" w:themeColor="accent1" w:themeTint="99"/>
        </w:rPr>
      </w:pPr>
      <w:proofErr w:type="gramStart"/>
      <w:r w:rsidRPr="00473685">
        <w:rPr>
          <w:rFonts w:ascii="Calibri Light" w:hAnsi="Calibri Light" w:cs="Calibri Light"/>
          <w:color w:val="8EAADB" w:themeColor="accent1" w:themeTint="99"/>
        </w:rPr>
        <w:t xml:space="preserve">“ </w:t>
      </w:r>
      <w:r w:rsidRPr="00473685">
        <w:rPr>
          <w:rFonts w:ascii="Calibri Light" w:hAnsi="Calibri Light" w:cs="Calibri Light"/>
          <w:color w:val="8EAADB" w:themeColor="accent1" w:themeTint="99"/>
        </w:rPr>
        <w:t>We</w:t>
      </w:r>
      <w:proofErr w:type="gramEnd"/>
      <w:r w:rsidRPr="00473685">
        <w:rPr>
          <w:rFonts w:ascii="Calibri Light" w:hAnsi="Calibri Light" w:cs="Calibri Light"/>
          <w:color w:val="8EAADB" w:themeColor="accent1" w:themeTint="99"/>
        </w:rPr>
        <w:t xml:space="preserve"> have made clear that students do not "shed their constitutional rights to freedom of speech or expression," even "at the school house gate." </w:t>
      </w:r>
      <w:r w:rsidRPr="00473685">
        <w:rPr>
          <w:rStyle w:val="Emphasis"/>
          <w:rFonts w:ascii="Calibri Light" w:eastAsiaTheme="majorEastAsia" w:hAnsi="Calibri Light" w:cs="Calibri Light"/>
          <w:color w:val="8EAADB" w:themeColor="accent1" w:themeTint="99"/>
        </w:rPr>
        <w:t>Tinker</w:t>
      </w:r>
      <w:r w:rsidRPr="00473685">
        <w:rPr>
          <w:rFonts w:ascii="Calibri Light" w:hAnsi="Calibri Light" w:cs="Calibri Light"/>
          <w:color w:val="8EAADB" w:themeColor="accent1" w:themeTint="99"/>
        </w:rPr>
        <w:t xml:space="preserve">, 393 U. S., at 506; see also </w:t>
      </w:r>
      <w:r w:rsidRPr="00473685">
        <w:rPr>
          <w:rStyle w:val="Emphasis"/>
          <w:rFonts w:ascii="Calibri Light" w:eastAsiaTheme="majorEastAsia" w:hAnsi="Calibri Light" w:cs="Calibri Light"/>
          <w:color w:val="8EAADB" w:themeColor="accent1" w:themeTint="99"/>
        </w:rPr>
        <w:t>Brown</w:t>
      </w:r>
      <w:r w:rsidRPr="00473685">
        <w:rPr>
          <w:rFonts w:ascii="Calibri Light" w:hAnsi="Calibri Light" w:cs="Calibri Light"/>
          <w:color w:val="8EAADB" w:themeColor="accent1" w:themeTint="99"/>
        </w:rPr>
        <w:t xml:space="preserve"> v. </w:t>
      </w:r>
      <w:r w:rsidRPr="00473685">
        <w:rPr>
          <w:rStyle w:val="Emphasis"/>
          <w:rFonts w:ascii="Calibri Light" w:eastAsiaTheme="majorEastAsia" w:hAnsi="Calibri Light" w:cs="Calibri Light"/>
          <w:color w:val="8EAADB" w:themeColor="accent1" w:themeTint="99"/>
        </w:rPr>
        <w:t>Entertainment Merchants Assn.</w:t>
      </w:r>
      <w:r w:rsidRPr="00473685">
        <w:rPr>
          <w:rFonts w:ascii="Calibri Light" w:hAnsi="Calibri Light" w:cs="Calibri Light"/>
          <w:color w:val="8EAADB" w:themeColor="accent1" w:themeTint="99"/>
        </w:rPr>
        <w:t>, 564 U. S. 786, 794 (2011) ("[M]</w:t>
      </w:r>
      <w:proofErr w:type="spellStart"/>
      <w:r w:rsidRPr="00473685">
        <w:rPr>
          <w:rFonts w:ascii="Calibri Light" w:hAnsi="Calibri Light" w:cs="Calibri Light"/>
          <w:color w:val="8EAADB" w:themeColor="accent1" w:themeTint="99"/>
        </w:rPr>
        <w:t>inors</w:t>
      </w:r>
      <w:proofErr w:type="spellEnd"/>
      <w:r w:rsidRPr="00473685">
        <w:rPr>
          <w:rFonts w:ascii="Calibri Light" w:hAnsi="Calibri Light" w:cs="Calibri Light"/>
          <w:color w:val="8EAADB" w:themeColor="accent1" w:themeTint="99"/>
        </w:rPr>
        <w:t xml:space="preserve"> are entitled to a significant measure of First Amendment protection" (alteration in original; internal quotation marks omitted)). But we have also made clear that courts must apply the First Amendment "in light of the special characteristics of the school environment." </w:t>
      </w:r>
      <w:r w:rsidRPr="00473685">
        <w:rPr>
          <w:rStyle w:val="Emphasis"/>
          <w:rFonts w:ascii="Calibri Light" w:eastAsiaTheme="majorEastAsia" w:hAnsi="Calibri Light" w:cs="Calibri Light"/>
          <w:color w:val="8EAADB" w:themeColor="accent1" w:themeTint="99"/>
        </w:rPr>
        <w:t>Hazelwood School Dist.</w:t>
      </w:r>
      <w:r w:rsidRPr="00473685">
        <w:rPr>
          <w:rFonts w:ascii="Calibri Light" w:hAnsi="Calibri Light" w:cs="Calibri Light"/>
          <w:color w:val="8EAADB" w:themeColor="accent1" w:themeTint="99"/>
        </w:rPr>
        <w:t xml:space="preserve"> v. </w:t>
      </w:r>
      <w:r w:rsidRPr="00473685">
        <w:rPr>
          <w:rStyle w:val="Emphasis"/>
          <w:rFonts w:ascii="Calibri Light" w:eastAsiaTheme="majorEastAsia" w:hAnsi="Calibri Light" w:cs="Calibri Light"/>
          <w:color w:val="8EAADB" w:themeColor="accent1" w:themeTint="99"/>
        </w:rPr>
        <w:t>Kuhlmeier</w:t>
      </w:r>
      <w:r w:rsidRPr="00473685">
        <w:rPr>
          <w:rFonts w:ascii="Calibri Light" w:hAnsi="Calibri Light" w:cs="Calibri Light"/>
          <w:color w:val="8EAADB" w:themeColor="accent1" w:themeTint="99"/>
        </w:rPr>
        <w:t>, 484 U. S. 260, 266 (1988) (internal quotation mark omitted).</w:t>
      </w:r>
      <w:r w:rsidRPr="00473685">
        <w:rPr>
          <w:rStyle w:val="Emphasis"/>
          <w:rFonts w:ascii="Calibri Light" w:eastAsiaTheme="majorEastAsia" w:hAnsi="Calibri Light" w:cs="Calibri Light"/>
          <w:color w:val="8EAADB" w:themeColor="accent1" w:themeTint="99"/>
        </w:rPr>
        <w:t xml:space="preserve"> </w:t>
      </w:r>
      <w:r w:rsidRPr="00473685">
        <w:rPr>
          <w:rFonts w:ascii="Calibri Light" w:hAnsi="Calibri Light" w:cs="Calibri Light"/>
          <w:color w:val="8EAADB" w:themeColor="accent1" w:themeTint="99"/>
        </w:rPr>
        <w:t xml:space="preserve">One such characteristic, which we have stressed, is the fact that schools at times stand </w:t>
      </w:r>
      <w:r w:rsidRPr="00473685">
        <w:rPr>
          <w:rStyle w:val="Emphasis"/>
          <w:rFonts w:ascii="Calibri Light" w:eastAsiaTheme="majorEastAsia" w:hAnsi="Calibri Light" w:cs="Calibri Light"/>
          <w:color w:val="8EAADB" w:themeColor="accent1" w:themeTint="99"/>
        </w:rPr>
        <w:t>in loco parentis</w:t>
      </w:r>
      <w:r w:rsidRPr="00473685">
        <w:rPr>
          <w:rFonts w:ascii="Calibri Light" w:hAnsi="Calibri Light" w:cs="Calibri Light"/>
          <w:color w:val="8EAADB" w:themeColor="accent1" w:themeTint="99"/>
        </w:rPr>
        <w:t>,</w:t>
      </w:r>
      <w:r w:rsidRPr="00473685">
        <w:rPr>
          <w:rStyle w:val="Emphasis"/>
          <w:rFonts w:ascii="Calibri Light" w:eastAsiaTheme="majorEastAsia" w:hAnsi="Calibri Light" w:cs="Calibri Light"/>
          <w:color w:val="8EAADB" w:themeColor="accent1" w:themeTint="99"/>
        </w:rPr>
        <w:t xml:space="preserve"> i.e.</w:t>
      </w:r>
      <w:r w:rsidRPr="00473685">
        <w:rPr>
          <w:rFonts w:ascii="Calibri Light" w:hAnsi="Calibri Light" w:cs="Calibri Light"/>
          <w:color w:val="8EAADB" w:themeColor="accent1" w:themeTint="99"/>
        </w:rPr>
        <w:t xml:space="preserve">, in the place of parents. See </w:t>
      </w:r>
      <w:r w:rsidRPr="00473685">
        <w:rPr>
          <w:rStyle w:val="Emphasis"/>
          <w:rFonts w:ascii="Calibri Light" w:eastAsiaTheme="majorEastAsia" w:hAnsi="Calibri Light" w:cs="Calibri Light"/>
          <w:color w:val="8EAADB" w:themeColor="accent1" w:themeTint="99"/>
        </w:rPr>
        <w:t>Bethel School Dist. No. 403</w:t>
      </w:r>
      <w:r w:rsidRPr="00473685">
        <w:rPr>
          <w:rFonts w:ascii="Calibri Light" w:hAnsi="Calibri Light" w:cs="Calibri Light"/>
          <w:color w:val="8EAADB" w:themeColor="accent1" w:themeTint="99"/>
        </w:rPr>
        <w:t xml:space="preserve"> v. </w:t>
      </w:r>
      <w:r w:rsidRPr="00473685">
        <w:rPr>
          <w:rStyle w:val="Emphasis"/>
          <w:rFonts w:ascii="Calibri Light" w:eastAsiaTheme="majorEastAsia" w:hAnsi="Calibri Light" w:cs="Calibri Light"/>
          <w:color w:val="8EAADB" w:themeColor="accent1" w:themeTint="99"/>
        </w:rPr>
        <w:t>Fraser</w:t>
      </w:r>
      <w:r w:rsidRPr="00473685">
        <w:rPr>
          <w:rFonts w:ascii="Calibri Light" w:hAnsi="Calibri Light" w:cs="Calibri Light"/>
          <w:color w:val="8EAADB" w:themeColor="accent1" w:themeTint="99"/>
        </w:rPr>
        <w:t>, 478 U. S. 675, 684 (1986).</w:t>
      </w:r>
    </w:p>
    <w:p w14:paraId="11311E0B" w14:textId="77777777" w:rsidR="00473685" w:rsidRPr="00473685" w:rsidRDefault="00473685" w:rsidP="00473685">
      <w:pPr>
        <w:pStyle w:val="NormalWeb"/>
        <w:rPr>
          <w:rFonts w:ascii="Calibri Light" w:hAnsi="Calibri Light" w:cs="Calibri Light"/>
          <w:color w:val="8EAADB" w:themeColor="accent1" w:themeTint="99"/>
        </w:rPr>
      </w:pPr>
      <w:r w:rsidRPr="00473685">
        <w:rPr>
          <w:rFonts w:ascii="Calibri Light" w:hAnsi="Calibri Light" w:cs="Calibri Light"/>
          <w:color w:val="8EAADB" w:themeColor="accent1" w:themeTint="99"/>
        </w:rPr>
        <w:t xml:space="preserve">     This Court has previously outlined three specific categories of student speech that schools may regulate in certain circumstances: (1) "indecent," "lewd," or "vulgar" speech uttered during </w:t>
      </w:r>
      <w:r w:rsidRPr="00473685">
        <w:rPr>
          <w:rFonts w:ascii="Calibri Light" w:hAnsi="Calibri Light" w:cs="Calibri Light"/>
          <w:color w:val="8EAADB" w:themeColor="accent1" w:themeTint="99"/>
        </w:rPr>
        <w:lastRenderedPageBreak/>
        <w:t xml:space="preserve">a school assembly on school grounds, see </w:t>
      </w:r>
      <w:r w:rsidRPr="00473685">
        <w:rPr>
          <w:rStyle w:val="Emphasis"/>
          <w:rFonts w:ascii="Calibri Light" w:eastAsiaTheme="majorEastAsia" w:hAnsi="Calibri Light" w:cs="Calibri Light"/>
          <w:color w:val="8EAADB" w:themeColor="accent1" w:themeTint="99"/>
        </w:rPr>
        <w:t>id.</w:t>
      </w:r>
      <w:r w:rsidRPr="00473685">
        <w:rPr>
          <w:rFonts w:ascii="Calibri Light" w:hAnsi="Calibri Light" w:cs="Calibri Light"/>
          <w:color w:val="8EAADB" w:themeColor="accent1" w:themeTint="99"/>
        </w:rPr>
        <w:t xml:space="preserve">, at 685; (2) speech, uttered during a class trip, that promotes "illegal drug use," see </w:t>
      </w:r>
      <w:r w:rsidRPr="00473685">
        <w:rPr>
          <w:rStyle w:val="Emphasis"/>
          <w:rFonts w:ascii="Calibri Light" w:eastAsiaTheme="majorEastAsia" w:hAnsi="Calibri Light" w:cs="Calibri Light"/>
          <w:color w:val="8EAADB" w:themeColor="accent1" w:themeTint="99"/>
        </w:rPr>
        <w:t>Morse</w:t>
      </w:r>
      <w:r w:rsidRPr="00473685">
        <w:rPr>
          <w:rFonts w:ascii="Calibri Light" w:hAnsi="Calibri Light" w:cs="Calibri Light"/>
          <w:color w:val="8EAADB" w:themeColor="accent1" w:themeTint="99"/>
        </w:rPr>
        <w:t xml:space="preserve"> v. </w:t>
      </w:r>
      <w:r w:rsidRPr="00473685">
        <w:rPr>
          <w:rStyle w:val="Emphasis"/>
          <w:rFonts w:ascii="Calibri Light" w:eastAsiaTheme="majorEastAsia" w:hAnsi="Calibri Light" w:cs="Calibri Light"/>
          <w:color w:val="8EAADB" w:themeColor="accent1" w:themeTint="99"/>
        </w:rPr>
        <w:t>Frederick</w:t>
      </w:r>
      <w:r w:rsidRPr="00473685">
        <w:rPr>
          <w:rFonts w:ascii="Calibri Light" w:hAnsi="Calibri Light" w:cs="Calibri Light"/>
          <w:color w:val="8EAADB" w:themeColor="accent1" w:themeTint="99"/>
        </w:rPr>
        <w:t>, 551 U. S. 393, 409 (2007); and (3) speech that others may reasonably perceive as "bear[</w:t>
      </w:r>
      <w:proofErr w:type="spellStart"/>
      <w:r w:rsidRPr="00473685">
        <w:rPr>
          <w:rFonts w:ascii="Calibri Light" w:hAnsi="Calibri Light" w:cs="Calibri Light"/>
          <w:color w:val="8EAADB" w:themeColor="accent1" w:themeTint="99"/>
        </w:rPr>
        <w:t>ing</w:t>
      </w:r>
      <w:proofErr w:type="spellEnd"/>
      <w:r w:rsidRPr="00473685">
        <w:rPr>
          <w:rFonts w:ascii="Calibri Light" w:hAnsi="Calibri Light" w:cs="Calibri Light"/>
          <w:color w:val="8EAADB" w:themeColor="accent1" w:themeTint="99"/>
        </w:rPr>
        <w:t xml:space="preserve">] the imprimatur of the school," such as that appearing in a school-sponsored newspaper, see </w:t>
      </w:r>
      <w:r w:rsidRPr="00473685">
        <w:rPr>
          <w:rStyle w:val="Emphasis"/>
          <w:rFonts w:ascii="Calibri Light" w:eastAsiaTheme="majorEastAsia" w:hAnsi="Calibri Light" w:cs="Calibri Light"/>
          <w:color w:val="8EAADB" w:themeColor="accent1" w:themeTint="99"/>
        </w:rPr>
        <w:t>Kuhlmeier</w:t>
      </w:r>
      <w:r w:rsidRPr="00473685">
        <w:rPr>
          <w:rFonts w:ascii="Calibri Light" w:hAnsi="Calibri Light" w:cs="Calibri Light"/>
          <w:color w:val="8EAADB" w:themeColor="accent1" w:themeTint="99"/>
        </w:rPr>
        <w:t>, 484 U. S., at 271</w:t>
      </w:r>
      <w:r w:rsidRPr="00473685">
        <w:rPr>
          <w:rStyle w:val="Emphasis"/>
          <w:rFonts w:ascii="Calibri Light" w:eastAsiaTheme="majorEastAsia" w:hAnsi="Calibri Light" w:cs="Calibri Light"/>
          <w:color w:val="8EAADB" w:themeColor="accent1" w:themeTint="99"/>
        </w:rPr>
        <w:t>.</w:t>
      </w:r>
    </w:p>
    <w:p w14:paraId="245A55BA" w14:textId="38281DC6" w:rsidR="00473685" w:rsidRDefault="00473685" w:rsidP="00473685">
      <w:pPr>
        <w:pStyle w:val="NormalWeb"/>
        <w:rPr>
          <w:rFonts w:ascii="Calibri Light" w:hAnsi="Calibri Light" w:cs="Calibri Light"/>
          <w:color w:val="8EAADB" w:themeColor="accent1" w:themeTint="99"/>
        </w:rPr>
      </w:pPr>
      <w:r w:rsidRPr="00473685">
        <w:rPr>
          <w:rFonts w:ascii="Calibri Light" w:hAnsi="Calibri Light" w:cs="Calibri Light"/>
          <w:color w:val="8EAADB" w:themeColor="accent1" w:themeTint="99"/>
        </w:rPr>
        <w:t xml:space="preserve">     Finally, in </w:t>
      </w:r>
      <w:r w:rsidRPr="00473685">
        <w:rPr>
          <w:rStyle w:val="Emphasis"/>
          <w:rFonts w:ascii="Calibri Light" w:eastAsiaTheme="majorEastAsia" w:hAnsi="Calibri Light" w:cs="Calibri Light"/>
          <w:color w:val="8EAADB" w:themeColor="accent1" w:themeTint="99"/>
        </w:rPr>
        <w:t>Tinker</w:t>
      </w:r>
      <w:r w:rsidRPr="00473685">
        <w:rPr>
          <w:rFonts w:ascii="Calibri Light" w:hAnsi="Calibri Light" w:cs="Calibri Light"/>
          <w:color w:val="8EAADB" w:themeColor="accent1" w:themeTint="99"/>
        </w:rPr>
        <w:t>, we said schools have a special interest in regulating speech that "materially disrupts classwork or involves substantial disorder or invasion of the rights of others." 393 U. S., at 513. These special characteristics call for special leeway when schools regulate speech that occurs under its supervision</w:t>
      </w:r>
      <w:proofErr w:type="gramStart"/>
      <w:r w:rsidRPr="00473685">
        <w:rPr>
          <w:rFonts w:ascii="Calibri Light" w:hAnsi="Calibri Light" w:cs="Calibri Light"/>
          <w:color w:val="8EAADB" w:themeColor="accent1" w:themeTint="99"/>
        </w:rPr>
        <w:t>.</w:t>
      </w:r>
      <w:r w:rsidRPr="00473685">
        <w:rPr>
          <w:rFonts w:ascii="Calibri Light" w:hAnsi="Calibri Light" w:cs="Calibri Light"/>
          <w:color w:val="8EAADB" w:themeColor="accent1" w:themeTint="99"/>
        </w:rPr>
        <w:t>”</w:t>
      </w:r>
      <w:r>
        <w:rPr>
          <w:rFonts w:ascii="Calibri Light" w:hAnsi="Calibri Light" w:cs="Calibri Light"/>
          <w:color w:val="8EAADB" w:themeColor="accent1" w:themeTint="99"/>
        </w:rPr>
        <w:t>. . .</w:t>
      </w:r>
      <w:proofErr w:type="gramEnd"/>
    </w:p>
    <w:p w14:paraId="760AF896" w14:textId="77777777" w:rsidR="00473685" w:rsidRDefault="00473685" w:rsidP="00473685">
      <w:pPr>
        <w:pStyle w:val="NormalWeb"/>
        <w:rPr>
          <w:rFonts w:ascii="Calibri Light" w:hAnsi="Calibri Light" w:cs="Calibri Light"/>
          <w:color w:val="8EAADB" w:themeColor="accent1" w:themeTint="99"/>
        </w:rPr>
      </w:pPr>
    </w:p>
    <w:p w14:paraId="49F489E9" w14:textId="2893C324" w:rsidR="00473685" w:rsidRPr="00473685" w:rsidRDefault="00473685" w:rsidP="00473685">
      <w:pPr>
        <w:pStyle w:val="NormalWeb"/>
        <w:rPr>
          <w:rFonts w:ascii="Calibri Light" w:hAnsi="Calibri Light" w:cs="Calibri Light"/>
          <w:color w:val="8EAADB" w:themeColor="accent1" w:themeTint="99"/>
        </w:rPr>
      </w:pPr>
      <w:r w:rsidRPr="00473685">
        <w:rPr>
          <w:rStyle w:val="Emphasis"/>
          <w:rFonts w:ascii="Calibri Light" w:eastAsiaTheme="majorEastAsia" w:hAnsi="Calibri Light" w:cs="Calibri Light"/>
          <w:color w:val="8EAADB" w:themeColor="accent1" w:themeTint="99"/>
        </w:rPr>
        <w:t>First</w:t>
      </w:r>
      <w:r w:rsidRPr="00473685">
        <w:rPr>
          <w:rFonts w:ascii="Calibri Light" w:hAnsi="Calibri Light" w:cs="Calibri Light"/>
          <w:color w:val="8EAADB" w:themeColor="accent1" w:themeTint="99"/>
        </w:rPr>
        <w:t xml:space="preserve">, we consider the school's interest in teaching good manners and consequently in punishing the use of vulgar language aimed at part of the school </w:t>
      </w:r>
      <w:proofErr w:type="gramStart"/>
      <w:r w:rsidRPr="00473685">
        <w:rPr>
          <w:rFonts w:ascii="Calibri Light" w:hAnsi="Calibri Light" w:cs="Calibri Light"/>
          <w:color w:val="8EAADB" w:themeColor="accent1" w:themeTint="99"/>
        </w:rPr>
        <w:t>community.</w:t>
      </w:r>
      <w:r w:rsidRPr="00473685">
        <w:rPr>
          <w:rFonts w:ascii="Calibri Light" w:hAnsi="Calibri Light" w:cs="Calibri Light"/>
          <w:color w:val="8EAADB" w:themeColor="accent1" w:themeTint="99"/>
        </w:rPr>
        <w:t>. . .</w:t>
      </w:r>
      <w:proofErr w:type="gramEnd"/>
    </w:p>
    <w:p w14:paraId="47B21278" w14:textId="19579C31" w:rsidR="00473685" w:rsidRDefault="00473685" w:rsidP="00473685">
      <w:pPr>
        <w:pStyle w:val="NormalWeb"/>
        <w:rPr>
          <w:rFonts w:ascii="Calibri Light" w:hAnsi="Calibri Light" w:cs="Calibri Light"/>
          <w:color w:val="8EAADB" w:themeColor="accent1" w:themeTint="99"/>
        </w:rPr>
      </w:pPr>
      <w:r w:rsidRPr="00473685">
        <w:rPr>
          <w:rStyle w:val="Emphasis"/>
          <w:rFonts w:ascii="Calibri Light" w:eastAsiaTheme="majorEastAsia" w:hAnsi="Calibri Light" w:cs="Calibri Light"/>
          <w:color w:val="8EAADB" w:themeColor="accent1" w:themeTint="99"/>
        </w:rPr>
        <w:t>Second</w:t>
      </w:r>
      <w:r w:rsidRPr="00473685">
        <w:rPr>
          <w:rFonts w:ascii="Calibri Light" w:hAnsi="Calibri Light" w:cs="Calibri Light"/>
          <w:color w:val="8EAADB" w:themeColor="accent1" w:themeTint="99"/>
        </w:rPr>
        <w:t>, the school argues that it was trying to prevent disruption, if not within the classroom, then within the bounds of a school-sponsored extracurricular activity. But we can find no evidence in the record of the sort of "substantial disruption" of a school activity or a threatened harm to the rights of others</w:t>
      </w:r>
      <w:r w:rsidRPr="00473685">
        <w:rPr>
          <w:rStyle w:val="Emphasis"/>
          <w:rFonts w:ascii="Calibri Light" w:eastAsiaTheme="majorEastAsia" w:hAnsi="Calibri Light" w:cs="Calibri Light"/>
          <w:color w:val="8EAADB" w:themeColor="accent1" w:themeTint="99"/>
        </w:rPr>
        <w:t xml:space="preserve"> </w:t>
      </w:r>
      <w:r w:rsidRPr="00473685">
        <w:rPr>
          <w:rFonts w:ascii="Calibri Light" w:hAnsi="Calibri Light" w:cs="Calibri Light"/>
          <w:color w:val="8EAADB" w:themeColor="accent1" w:themeTint="99"/>
        </w:rPr>
        <w:t>that might justify the school's action.</w:t>
      </w:r>
    </w:p>
    <w:p w14:paraId="526C8492" w14:textId="5AD742BD" w:rsidR="00473685" w:rsidRPr="00E1670A" w:rsidRDefault="00473685" w:rsidP="00E1670A">
      <w:pPr>
        <w:pStyle w:val="NormalWeb"/>
        <w:rPr>
          <w:rFonts w:asciiTheme="majorHAnsi" w:hAnsiTheme="majorHAnsi" w:cstheme="majorHAnsi"/>
          <w:color w:val="8EAADB" w:themeColor="accent1" w:themeTint="99"/>
        </w:rPr>
      </w:pPr>
      <w:r w:rsidRPr="00473685">
        <w:rPr>
          <w:rStyle w:val="Emphasis"/>
          <w:rFonts w:asciiTheme="majorHAnsi" w:eastAsiaTheme="majorEastAsia" w:hAnsiTheme="majorHAnsi" w:cstheme="majorHAnsi"/>
          <w:color w:val="8EAADB" w:themeColor="accent1" w:themeTint="99"/>
        </w:rPr>
        <w:t>Second</w:t>
      </w:r>
      <w:r w:rsidRPr="00473685">
        <w:rPr>
          <w:rFonts w:asciiTheme="majorHAnsi" w:hAnsiTheme="majorHAnsi" w:cstheme="majorHAnsi"/>
          <w:color w:val="8EAADB" w:themeColor="accent1" w:themeTint="99"/>
        </w:rPr>
        <w:t>, the school argues that it was trying to prevent disruption, if not within the classroom, then within the bounds of a school-sponsored extracurricular activity. But we can find no evidence in the record of the sort of "substantial disruption" of a school activity or a threatened harm to the rights of others</w:t>
      </w:r>
      <w:r w:rsidRPr="00473685">
        <w:rPr>
          <w:rStyle w:val="Emphasis"/>
          <w:rFonts w:asciiTheme="majorHAnsi" w:eastAsiaTheme="majorEastAsia" w:hAnsiTheme="majorHAnsi" w:cstheme="majorHAnsi"/>
          <w:color w:val="8EAADB" w:themeColor="accent1" w:themeTint="99"/>
        </w:rPr>
        <w:t xml:space="preserve"> </w:t>
      </w:r>
      <w:r w:rsidRPr="00473685">
        <w:rPr>
          <w:rFonts w:asciiTheme="majorHAnsi" w:hAnsiTheme="majorHAnsi" w:cstheme="majorHAnsi"/>
          <w:color w:val="8EAADB" w:themeColor="accent1" w:themeTint="99"/>
        </w:rPr>
        <w:t>that might justify the school's action.</w:t>
      </w:r>
      <w:r w:rsidR="00E1670A">
        <w:rPr>
          <w:rFonts w:asciiTheme="majorHAnsi" w:hAnsiTheme="majorHAnsi" w:cstheme="majorHAnsi"/>
          <w:color w:val="8EAADB" w:themeColor="accent1" w:themeTint="99"/>
        </w:rPr>
        <w:t>”</w:t>
      </w:r>
    </w:p>
    <w:p w14:paraId="41DF233C" w14:textId="517A0ADF" w:rsidR="008F0F8D" w:rsidRDefault="00E1670A" w:rsidP="008F0F8D">
      <w:pPr>
        <w:pStyle w:val="Heading4"/>
      </w:pPr>
      <w:r>
        <w:t>“</w:t>
      </w:r>
      <w:r w:rsidR="008F0F8D" w:rsidRPr="00443850">
        <w:t xml:space="preserve">Given the many different kinds of off-campus speech, the different potential school-related and circumstance-specific justifications, and the differing extent to which those justifications may call for First Amendment leeway, we can, as a general matter, say </w:t>
      </w:r>
      <w:r w:rsidR="00473685">
        <w:br/>
      </w:r>
      <w:r w:rsidR="008F0F8D" w:rsidRPr="00443850">
        <w:t>little more than this: Taken together, these three features of much off-campus speech mean that the leeway the First Amendment grants to schools in light of their special characteristics is diminished. We leave for future cases to decide where, when, and how these features mean the speaker's off-campus location will make the critical difference. This case can, however, provide one example. </w:t>
      </w:r>
      <w:r w:rsidR="008F0F8D">
        <w:t>“</w:t>
      </w:r>
    </w:p>
    <w:p w14:paraId="2B4F37A4" w14:textId="2F9DB35C" w:rsidR="008F0F8D" w:rsidRDefault="008F0F8D" w:rsidP="008F0F8D">
      <w:pPr>
        <w:rPr>
          <w:rFonts w:ascii="Calibri Light" w:hAnsi="Calibri Light" w:cs="Calibri Light"/>
          <w:color w:val="8EAADB" w:themeColor="accent1" w:themeTint="99"/>
        </w:rPr>
      </w:pPr>
      <w:r w:rsidRPr="008F0F8D">
        <w:rPr>
          <w:rFonts w:ascii="Calibri Light" w:hAnsi="Calibri Light" w:cs="Calibri Light"/>
          <w:color w:val="8EAADB" w:themeColor="accent1" w:themeTint="99"/>
        </w:rPr>
        <w:t xml:space="preserve">        2, </w:t>
      </w:r>
      <w:r w:rsidRPr="001E2B3F">
        <w:rPr>
          <w:rFonts w:ascii="Calibri Light" w:hAnsi="Calibri Light" w:cs="Calibri Light"/>
          <w:color w:val="8EAADB" w:themeColor="accent1" w:themeTint="99"/>
        </w:rPr>
        <w:t>Thomas Dissent</w:t>
      </w:r>
    </w:p>
    <w:p w14:paraId="6A52A4E5" w14:textId="1BAFF52A" w:rsidR="001E2B3F" w:rsidRPr="001E2B3F" w:rsidRDefault="001E2B3F" w:rsidP="001E2B3F">
      <w:pPr>
        <w:pStyle w:val="NormalWeb"/>
        <w:rPr>
          <w:rFonts w:ascii="Calibri Light" w:hAnsi="Calibri Light" w:cs="Calibri Light"/>
          <w:color w:val="8EAADB" w:themeColor="accent1" w:themeTint="99"/>
        </w:rPr>
      </w:pPr>
      <w:r>
        <w:t> </w:t>
      </w:r>
      <w:r>
        <w:t>“</w:t>
      </w:r>
      <w:r w:rsidRPr="001E2B3F">
        <w:rPr>
          <w:rFonts w:ascii="Calibri Light" w:hAnsi="Calibri Light" w:cs="Calibri Light"/>
          <w:color w:val="8EAADB" w:themeColor="accent1" w:themeTint="99"/>
        </w:rPr>
        <w:t xml:space="preserve">While the majority entirely ignores the relevant history, I would begin the assessment of the scope of free-speech rights incorporated against the States by looking to "what 'ordinary citizens' at the time of [the Fourteenth Amendment's] ratification would have understood" the right to </w:t>
      </w:r>
      <w:proofErr w:type="gramStart"/>
      <w:r w:rsidRPr="001E2B3F">
        <w:rPr>
          <w:rFonts w:ascii="Calibri Light" w:hAnsi="Calibri Light" w:cs="Calibri Light"/>
          <w:color w:val="8EAADB" w:themeColor="accent1" w:themeTint="99"/>
        </w:rPr>
        <w:t>encompass..</w:t>
      </w:r>
      <w:proofErr w:type="gramEnd"/>
      <w:r w:rsidRPr="001E2B3F">
        <w:rPr>
          <w:rFonts w:ascii="Calibri Light" w:hAnsi="Calibri Light" w:cs="Calibri Light"/>
          <w:color w:val="8EAADB" w:themeColor="accent1" w:themeTint="99"/>
        </w:rPr>
        <w:t xml:space="preserve"> </w:t>
      </w:r>
      <w:r w:rsidR="001165E1">
        <w:rPr>
          <w:rFonts w:ascii="Calibri Light" w:hAnsi="Calibri Light" w:cs="Calibri Light"/>
          <w:color w:val="8EAADB" w:themeColor="accent1" w:themeTint="99"/>
        </w:rPr>
        <w:t xml:space="preserve">. . . </w:t>
      </w:r>
      <w:r w:rsidRPr="001E2B3F">
        <w:rPr>
          <w:rFonts w:ascii="Calibri Light" w:hAnsi="Calibri Light" w:cs="Calibri Light"/>
          <w:color w:val="8EAADB" w:themeColor="accent1" w:themeTint="99"/>
        </w:rPr>
        <w:t xml:space="preserve">As I have previously </w:t>
      </w:r>
      <w:proofErr w:type="gramStart"/>
      <w:r w:rsidRPr="001E2B3F">
        <w:rPr>
          <w:rFonts w:ascii="Calibri Light" w:hAnsi="Calibri Light" w:cs="Calibri Light"/>
          <w:color w:val="8EAADB" w:themeColor="accent1" w:themeTint="99"/>
        </w:rPr>
        <w:t>explained,</w:t>
      </w:r>
      <w:proofErr w:type="gramEnd"/>
      <w:r w:rsidRPr="001E2B3F">
        <w:rPr>
          <w:rFonts w:ascii="Calibri Light" w:hAnsi="Calibri Light" w:cs="Calibri Light"/>
          <w:color w:val="8EAADB" w:themeColor="accent1" w:themeTint="99"/>
        </w:rPr>
        <w:t xml:space="preserve"> that authority was near plenary while students were at school. See </w:t>
      </w:r>
      <w:r w:rsidRPr="001E2B3F">
        <w:rPr>
          <w:rStyle w:val="Emphasis"/>
          <w:rFonts w:ascii="Calibri Light" w:eastAsiaTheme="majorEastAsia" w:hAnsi="Calibri Light" w:cs="Calibri Light"/>
          <w:color w:val="8EAADB" w:themeColor="accent1" w:themeTint="99"/>
        </w:rPr>
        <w:t>Morse</w:t>
      </w:r>
      <w:r w:rsidRPr="001E2B3F">
        <w:rPr>
          <w:rFonts w:ascii="Calibri Light" w:hAnsi="Calibri Light" w:cs="Calibri Light"/>
          <w:color w:val="8EAADB" w:themeColor="accent1" w:themeTint="99"/>
        </w:rPr>
        <w:t xml:space="preserve"> v. </w:t>
      </w:r>
      <w:r w:rsidRPr="001E2B3F">
        <w:rPr>
          <w:rStyle w:val="Emphasis"/>
          <w:rFonts w:ascii="Calibri Light" w:eastAsiaTheme="majorEastAsia" w:hAnsi="Calibri Light" w:cs="Calibri Light"/>
          <w:color w:val="8EAADB" w:themeColor="accent1" w:themeTint="99"/>
        </w:rPr>
        <w:t>Frederick</w:t>
      </w:r>
      <w:r w:rsidRPr="001E2B3F">
        <w:rPr>
          <w:rFonts w:ascii="Calibri Light" w:hAnsi="Calibri Light" w:cs="Calibri Light"/>
          <w:color w:val="8EAADB" w:themeColor="accent1" w:themeTint="99"/>
        </w:rPr>
        <w:t>, 551 U. S. 393, 419 (2007</w:t>
      </w:r>
    </w:p>
    <w:p w14:paraId="14A2C4C3" w14:textId="07D974F0"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lastRenderedPageBreak/>
        <w:t>  </w:t>
      </w:r>
      <w:r w:rsidR="001165E1">
        <w:rPr>
          <w:rFonts w:ascii="Calibri Light" w:hAnsi="Calibri Light" w:cs="Calibri Light"/>
          <w:color w:val="8EAADB" w:themeColor="accent1" w:themeTint="99"/>
        </w:rPr>
        <w:t>. . .</w:t>
      </w:r>
      <w:r w:rsidRPr="001E2B3F">
        <w:rPr>
          <w:rFonts w:ascii="Calibri Light" w:hAnsi="Calibri Light" w:cs="Calibri Light"/>
          <w:color w:val="8EAADB" w:themeColor="accent1" w:themeTint="99"/>
        </w:rPr>
        <w:t xml:space="preserve">     So widespread was this rule that it served not only as the basis for schools to discipline disrespectful speech but also to regulate truancy. Although modern doctrine draws a clear line between speech and conduct, cases in the 19th century did not. </w:t>
      </w:r>
      <w:r w:rsidRPr="001E2B3F">
        <w:rPr>
          <w:rStyle w:val="Emphasis"/>
          <w:rFonts w:ascii="Calibri Light" w:eastAsiaTheme="majorEastAsia" w:hAnsi="Calibri Light" w:cs="Calibri Light"/>
          <w:color w:val="8EAADB" w:themeColor="accent1" w:themeTint="99"/>
        </w:rPr>
        <w:t>E.g.,</w:t>
      </w:r>
      <w:r w:rsidRPr="001E2B3F">
        <w:rPr>
          <w:rFonts w:ascii="Calibri Light" w:hAnsi="Calibri Light" w:cs="Calibri Light"/>
          <w:color w:val="8EAADB" w:themeColor="accent1" w:themeTint="99"/>
        </w:rPr>
        <w:t xml:space="preserve"> </w:t>
      </w:r>
      <w:r w:rsidRPr="001E2B3F">
        <w:rPr>
          <w:rStyle w:val="Emphasis"/>
          <w:rFonts w:ascii="Calibri Light" w:eastAsiaTheme="majorEastAsia" w:hAnsi="Calibri Light" w:cs="Calibri Light"/>
          <w:color w:val="8EAADB" w:themeColor="accent1" w:themeTint="99"/>
        </w:rPr>
        <w:t>Lander</w:t>
      </w:r>
      <w:r w:rsidRPr="001E2B3F">
        <w:rPr>
          <w:rFonts w:ascii="Calibri Light" w:hAnsi="Calibri Light" w:cs="Calibri Light"/>
          <w:color w:val="8EAADB" w:themeColor="accent1" w:themeTint="99"/>
        </w:rPr>
        <w:t xml:space="preserve">, 32 Vt., at 120 (describing speech as "acts of misbehavior"); </w:t>
      </w:r>
      <w:proofErr w:type="spellStart"/>
      <w:r w:rsidRPr="001E2B3F">
        <w:rPr>
          <w:rFonts w:ascii="Calibri Light" w:hAnsi="Calibri Light" w:cs="Calibri Light"/>
          <w:color w:val="8EAADB" w:themeColor="accent1" w:themeTint="99"/>
        </w:rPr>
        <w:t>Stockwell</w:t>
      </w:r>
      <w:proofErr w:type="spellEnd"/>
      <w:r w:rsidRPr="001E2B3F">
        <w:rPr>
          <w:rFonts w:ascii="Calibri Light" w:hAnsi="Calibri Light" w:cs="Calibri Light"/>
          <w:color w:val="8EAADB" w:themeColor="accent1" w:themeTint="99"/>
        </w:rPr>
        <w:t xml:space="preserve"> 236-238 (applying the </w:t>
      </w:r>
      <w:r w:rsidRPr="001E2B3F">
        <w:rPr>
          <w:rStyle w:val="Emphasis"/>
          <w:rFonts w:ascii="Calibri Light" w:eastAsiaTheme="majorEastAsia" w:hAnsi="Calibri Light" w:cs="Calibri Light"/>
          <w:color w:val="8EAADB" w:themeColor="accent1" w:themeTint="99"/>
        </w:rPr>
        <w:t>Lander</w:t>
      </w:r>
      <w:r w:rsidRPr="001E2B3F">
        <w:rPr>
          <w:rFonts w:ascii="Calibri Light" w:hAnsi="Calibri Light" w:cs="Calibri Light"/>
          <w:color w:val="8EAADB" w:themeColor="accent1" w:themeTint="99"/>
        </w:rPr>
        <w:t xml:space="preserve"> rule to "[t]</w:t>
      </w:r>
      <w:proofErr w:type="gramStart"/>
      <w:r w:rsidRPr="001E2B3F">
        <w:rPr>
          <w:rFonts w:ascii="Calibri Light" w:hAnsi="Calibri Light" w:cs="Calibri Light"/>
          <w:color w:val="8EAADB" w:themeColor="accent1" w:themeTint="99"/>
        </w:rPr>
        <w:t>he</w:t>
      </w:r>
      <w:proofErr w:type="gramEnd"/>
      <w:r w:rsidRPr="001E2B3F">
        <w:rPr>
          <w:rFonts w:ascii="Calibri Light" w:hAnsi="Calibri Light" w:cs="Calibri Light"/>
          <w:color w:val="8EAADB" w:themeColor="accent1" w:themeTint="99"/>
        </w:rPr>
        <w:t xml:space="preserve"> conduct of pupils"); </w:t>
      </w:r>
      <w:r w:rsidRPr="001E2B3F">
        <w:rPr>
          <w:rStyle w:val="Emphasis"/>
          <w:rFonts w:ascii="Calibri Light" w:eastAsiaTheme="majorEastAsia" w:hAnsi="Calibri Light" w:cs="Calibri Light"/>
          <w:color w:val="8EAADB" w:themeColor="accent1" w:themeTint="99"/>
        </w:rPr>
        <w:t>Morse</w:t>
      </w:r>
      <w:r w:rsidRPr="001E2B3F">
        <w:rPr>
          <w:rFonts w:ascii="Calibri Light" w:hAnsi="Calibri Light" w:cs="Calibri Light"/>
          <w:color w:val="8EAADB" w:themeColor="accent1" w:themeTint="99"/>
        </w:rPr>
        <w:t>, 551 U. S., at 419 (</w:t>
      </w:r>
      <w:r w:rsidRPr="001E2B3F">
        <w:rPr>
          <w:rFonts w:ascii="Calibri Light" w:hAnsi="Calibri Light" w:cs="Calibri Light"/>
          <w:caps/>
          <w:color w:val="8EAADB" w:themeColor="accent1" w:themeTint="99"/>
          <w:sz w:val="20"/>
          <w:szCs w:val="20"/>
        </w:rPr>
        <w:t>Thomas</w:t>
      </w:r>
      <w:r w:rsidRPr="001E2B3F">
        <w:rPr>
          <w:rFonts w:ascii="Calibri Light" w:hAnsi="Calibri Light" w:cs="Calibri Light"/>
          <w:color w:val="8EAADB" w:themeColor="accent1" w:themeTint="99"/>
        </w:rPr>
        <w:t>, J., concurring</w:t>
      </w:r>
      <w:r w:rsidR="001165E1">
        <w:rPr>
          <w:rFonts w:ascii="Calibri Light" w:hAnsi="Calibri Light" w:cs="Calibri Light"/>
          <w:color w:val="8EAADB" w:themeColor="accent1" w:themeTint="99"/>
        </w:rPr>
        <w:t>. . .</w:t>
      </w:r>
    </w:p>
    <w:p w14:paraId="43632FD3" w14:textId="4585F0D9"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Some courts made statements that, if read in isolation, could suggest that schools had no authority at all to regulate off-campus speech</w:t>
      </w:r>
      <w:r w:rsidR="001165E1">
        <w:rPr>
          <w:rFonts w:ascii="Calibri Light" w:hAnsi="Calibri Light" w:cs="Calibri Light"/>
          <w:color w:val="8EAADB" w:themeColor="accent1" w:themeTint="99"/>
        </w:rPr>
        <w:t>…</w:t>
      </w:r>
      <w:r w:rsidRPr="001E2B3F">
        <w:rPr>
          <w:rFonts w:ascii="Calibri Light" w:hAnsi="Calibri Light" w:cs="Calibri Light"/>
          <w:color w:val="8EAADB" w:themeColor="accent1" w:themeTint="99"/>
        </w:rPr>
        <w:t>). But, these courts made it clear that the rule against regulating off-campus speech applied only when that speech was "nowise connected with the management or successful operation of the school.</w:t>
      </w:r>
      <w:proofErr w:type="gramStart"/>
      <w:r w:rsidRPr="001E2B3F">
        <w:rPr>
          <w:rFonts w:ascii="Calibri Light" w:hAnsi="Calibri Light" w:cs="Calibri Light"/>
          <w:color w:val="8EAADB" w:themeColor="accent1" w:themeTint="99"/>
        </w:rPr>
        <w:t xml:space="preserve">" </w:t>
      </w:r>
      <w:proofErr w:type="gramEnd"/>
      <w:r w:rsidR="001165E1">
        <w:rPr>
          <w:rFonts w:ascii="Calibri Light" w:hAnsi="Calibri Light" w:cs="Calibri Light"/>
          <w:color w:val="8EAADB" w:themeColor="accent1" w:themeTint="99"/>
        </w:rPr>
        <w:t>. . .</w:t>
      </w:r>
    </w:p>
    <w:p w14:paraId="4F2E9A54" w14:textId="77777777" w:rsidR="001E2B3F" w:rsidRPr="001E2B3F" w:rsidRDefault="001E2B3F" w:rsidP="001E2B3F">
      <w:pPr>
        <w:pStyle w:val="NormalWeb"/>
        <w:jc w:val="center"/>
        <w:outlineLvl w:val="3"/>
        <w:rPr>
          <w:rFonts w:ascii="Calibri Light" w:hAnsi="Calibri Light" w:cs="Calibri Light"/>
          <w:b/>
          <w:bCs/>
          <w:color w:val="8EAADB" w:themeColor="accent1" w:themeTint="99"/>
          <w:sz w:val="27"/>
          <w:szCs w:val="27"/>
        </w:rPr>
      </w:pPr>
      <w:r w:rsidRPr="001E2B3F">
        <w:rPr>
          <w:rFonts w:ascii="Calibri Light" w:hAnsi="Calibri Light" w:cs="Calibri Light"/>
          <w:b/>
          <w:bCs/>
          <w:color w:val="8EAADB" w:themeColor="accent1" w:themeTint="99"/>
          <w:sz w:val="27"/>
          <w:szCs w:val="27"/>
        </w:rPr>
        <w:t>B</w:t>
      </w:r>
    </w:p>
    <w:p w14:paraId="49E358D7"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xml:space="preserve">     If there is a good constitutional reason to depart from this historical rule, the majority and the parties fail to identify it. I would thus apply the rule. </w:t>
      </w:r>
      <w:proofErr w:type="gramStart"/>
      <w:r w:rsidRPr="001E2B3F">
        <w:rPr>
          <w:rFonts w:ascii="Calibri Light" w:hAnsi="Calibri Light" w:cs="Calibri Light"/>
          <w:color w:val="8EAADB" w:themeColor="accent1" w:themeTint="99"/>
        </w:rPr>
        <w:t>Assuming that</w:t>
      </w:r>
      <w:proofErr w:type="gramEnd"/>
      <w:r w:rsidRPr="001E2B3F">
        <w:rPr>
          <w:rFonts w:ascii="Calibri Light" w:hAnsi="Calibri Light" w:cs="Calibri Light"/>
          <w:color w:val="8EAADB" w:themeColor="accent1" w:themeTint="99"/>
        </w:rPr>
        <w:t xml:space="preserve">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occurred off campus, the purpose and effect of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was "to degrade the [program and cheerleading staff]" in front of "other pupils," thus having "a direct and immediate tendency to . . . subvert the [cheerleading coach's] authority."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xml:space="preserve"> at 115, 120. As a result, the coach had authority to discipline B. L.</w:t>
      </w:r>
    </w:p>
    <w:p w14:paraId="2CF06D36" w14:textId="0B711374" w:rsidR="001E2B3F" w:rsidRPr="001E2B3F" w:rsidRDefault="001165E1" w:rsidP="001E2B3F">
      <w:pPr>
        <w:pStyle w:val="NormalWeb"/>
        <w:rPr>
          <w:rFonts w:ascii="Calibri Light" w:hAnsi="Calibri Light" w:cs="Calibri Light"/>
          <w:color w:val="8EAADB" w:themeColor="accent1" w:themeTint="99"/>
        </w:rPr>
      </w:pPr>
      <w:r>
        <w:rPr>
          <w:rFonts w:ascii="Calibri Light" w:hAnsi="Calibri Light" w:cs="Calibri Light"/>
          <w:color w:val="8EAADB" w:themeColor="accent1" w:themeTint="99"/>
        </w:rPr>
        <w:t>. . .</w:t>
      </w:r>
      <w:r w:rsidR="001E2B3F" w:rsidRPr="001E2B3F">
        <w:rPr>
          <w:rFonts w:ascii="Calibri Light" w:hAnsi="Calibri Light" w:cs="Calibri Light"/>
          <w:color w:val="8EAADB" w:themeColor="accent1" w:themeTint="99"/>
        </w:rPr>
        <w:t>     But the majority and the parties provide no textual or historical evidence to suggest that federal courts generally can police the proportionality of school disciplinary decisions in the name of the First Amendment.</w:t>
      </w:r>
    </w:p>
    <w:p w14:paraId="1E9A75A1" w14:textId="77777777" w:rsidR="001E2B3F" w:rsidRPr="001E2B3F" w:rsidRDefault="001E2B3F" w:rsidP="001E2B3F">
      <w:pPr>
        <w:pStyle w:val="NormalWeb"/>
        <w:jc w:val="center"/>
        <w:outlineLvl w:val="3"/>
        <w:rPr>
          <w:rFonts w:ascii="Calibri Light" w:hAnsi="Calibri Light" w:cs="Calibri Light"/>
          <w:b/>
          <w:bCs/>
          <w:color w:val="8EAADB" w:themeColor="accent1" w:themeTint="99"/>
          <w:sz w:val="27"/>
          <w:szCs w:val="27"/>
        </w:rPr>
      </w:pPr>
      <w:r w:rsidRPr="001E2B3F">
        <w:rPr>
          <w:rFonts w:ascii="Calibri Light" w:hAnsi="Calibri Light" w:cs="Calibri Light"/>
          <w:b/>
          <w:bCs/>
          <w:color w:val="8EAADB" w:themeColor="accent1" w:themeTint="99"/>
          <w:sz w:val="27"/>
          <w:szCs w:val="27"/>
        </w:rPr>
        <w:t>II</w:t>
      </w:r>
    </w:p>
    <w:p w14:paraId="269F6021"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The majority declines to consider any of this history, instead favoring a few pragmatic guideposts. This is not the first time the Court has chosen intuition over history when it comes to student speech. The larger problem facing us today is that our student-speech cases are untethered from any textual or historical foundation. That failure leads the majority to miss much of the analysis relevant to these kinds of cases.</w:t>
      </w:r>
    </w:p>
    <w:p w14:paraId="4B37A622" w14:textId="77777777" w:rsidR="001E2B3F" w:rsidRPr="001E2B3F" w:rsidRDefault="001E2B3F" w:rsidP="001E2B3F">
      <w:pPr>
        <w:pStyle w:val="NormalWeb"/>
        <w:jc w:val="center"/>
        <w:outlineLvl w:val="3"/>
        <w:rPr>
          <w:rFonts w:ascii="Calibri Light" w:hAnsi="Calibri Light" w:cs="Calibri Light"/>
          <w:b/>
          <w:bCs/>
          <w:color w:val="8EAADB" w:themeColor="accent1" w:themeTint="99"/>
          <w:sz w:val="27"/>
          <w:szCs w:val="27"/>
        </w:rPr>
      </w:pPr>
      <w:r w:rsidRPr="001E2B3F">
        <w:rPr>
          <w:rFonts w:ascii="Calibri Light" w:hAnsi="Calibri Light" w:cs="Calibri Light"/>
          <w:b/>
          <w:bCs/>
          <w:color w:val="8EAADB" w:themeColor="accent1" w:themeTint="99"/>
          <w:sz w:val="27"/>
          <w:szCs w:val="27"/>
        </w:rPr>
        <w:t>A</w:t>
      </w:r>
    </w:p>
    <w:p w14:paraId="30ED3F84"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xml:space="preserve">     Consider the Court's longtime failure to grapple with the historical doctrine of </w:t>
      </w:r>
      <w:r w:rsidRPr="001E2B3F">
        <w:rPr>
          <w:rStyle w:val="Emphasis"/>
          <w:rFonts w:ascii="Calibri Light" w:eastAsiaTheme="majorEastAsia" w:hAnsi="Calibri Light" w:cs="Calibri Light"/>
          <w:color w:val="8EAADB" w:themeColor="accent1" w:themeTint="99"/>
        </w:rPr>
        <w:t>in loco parentis</w:t>
      </w:r>
      <w:r w:rsidRPr="001E2B3F">
        <w:rPr>
          <w:rFonts w:ascii="Calibri Light" w:hAnsi="Calibri Light" w:cs="Calibri Light"/>
          <w:color w:val="8EAADB" w:themeColor="accent1" w:themeTint="99"/>
        </w:rPr>
        <w:t xml:space="preserve">. As I have previously explained, the Fourteenth Amendment was ratified against the background legal principle that publicly funded schools operated not as ordinary state actors, but as delegated substitutes of parents.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xml:space="preserve"> at 411-413. This principle freed schools from the constraints the Fourteenth Amendment placed on other government actors. "[N]o one doubted the government's ability to educate and discipline children as private schools did," including "through strict discipline . . . for behavior the school considered disrespectful or wrong."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xml:space="preserve">., at 411-412. "The doctrine of </w:t>
      </w:r>
      <w:r w:rsidRPr="001E2B3F">
        <w:rPr>
          <w:rStyle w:val="Emphasis"/>
          <w:rFonts w:ascii="Calibri Light" w:eastAsiaTheme="majorEastAsia" w:hAnsi="Calibri Light" w:cs="Calibri Light"/>
          <w:color w:val="8EAADB" w:themeColor="accent1" w:themeTint="99"/>
        </w:rPr>
        <w:t>in loco parentis</w:t>
      </w:r>
      <w:r w:rsidRPr="001E2B3F">
        <w:rPr>
          <w:rFonts w:ascii="Calibri Light" w:hAnsi="Calibri Light" w:cs="Calibri Light"/>
          <w:color w:val="8EAADB" w:themeColor="accent1" w:themeTint="99"/>
        </w:rPr>
        <w:t xml:space="preserve"> limited the ability of schools to set rules and control their classrooms in almost no way."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at 416.</w:t>
      </w:r>
    </w:p>
    <w:p w14:paraId="18AA8AA4"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lastRenderedPageBreak/>
        <w:t xml:space="preserve">     Plausible arguments can be raised in favor of departing from that historical doctrine. When the Fourteenth Amendment was ratified, just three jurisdictions had compulsory-education laws. M. Katz, A History of Compulsory Education Laws 17 (1976). One might argue that the delegation logic of </w:t>
      </w:r>
      <w:r w:rsidRPr="001E2B3F">
        <w:rPr>
          <w:rStyle w:val="Emphasis"/>
          <w:rFonts w:ascii="Calibri Light" w:eastAsiaTheme="majorEastAsia" w:hAnsi="Calibri Light" w:cs="Calibri Light"/>
          <w:color w:val="8EAADB" w:themeColor="accent1" w:themeTint="99"/>
        </w:rPr>
        <w:t>in loco parentis</w:t>
      </w:r>
      <w:r w:rsidRPr="001E2B3F">
        <w:rPr>
          <w:rFonts w:ascii="Calibri Light" w:hAnsi="Calibri Light" w:cs="Calibri Light"/>
          <w:color w:val="8EAADB" w:themeColor="accent1" w:themeTint="99"/>
        </w:rPr>
        <w:t xml:space="preserve"> applies only when delegation is voluntary. But cf.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xml:space="preserve"> at 11-13 (identifying analogs to compulsory-education laws as early as the </w:t>
      </w:r>
      <w:proofErr w:type="spellStart"/>
      <w:r w:rsidRPr="001E2B3F">
        <w:rPr>
          <w:rFonts w:ascii="Calibri Light" w:hAnsi="Calibri Light" w:cs="Calibri Light"/>
          <w:color w:val="8EAADB" w:themeColor="accent1" w:themeTint="99"/>
        </w:rPr>
        <w:t>1640s</w:t>
      </w:r>
      <w:proofErr w:type="spellEnd"/>
      <w:r w:rsidRPr="001E2B3F">
        <w:rPr>
          <w:rFonts w:ascii="Calibri Light" w:hAnsi="Calibri Light" w:cs="Calibri Light"/>
          <w:color w:val="8EAADB" w:themeColor="accent1" w:themeTint="99"/>
        </w:rPr>
        <w:t xml:space="preserve">); </w:t>
      </w:r>
      <w:r w:rsidRPr="001E2B3F">
        <w:rPr>
          <w:rStyle w:val="Emphasis"/>
          <w:rFonts w:ascii="Calibri Light" w:eastAsiaTheme="majorEastAsia" w:hAnsi="Calibri Light" w:cs="Calibri Light"/>
          <w:color w:val="8EAADB" w:themeColor="accent1" w:themeTint="99"/>
        </w:rPr>
        <w:t>Pierce</w:t>
      </w:r>
      <w:r w:rsidRPr="001E2B3F">
        <w:rPr>
          <w:rFonts w:ascii="Calibri Light" w:hAnsi="Calibri Light" w:cs="Calibri Light"/>
          <w:color w:val="8EAADB" w:themeColor="accent1" w:themeTint="99"/>
        </w:rPr>
        <w:t xml:space="preserve"> v. </w:t>
      </w:r>
      <w:r w:rsidRPr="001E2B3F">
        <w:rPr>
          <w:rStyle w:val="Emphasis"/>
          <w:rFonts w:ascii="Calibri Light" w:eastAsiaTheme="majorEastAsia" w:hAnsi="Calibri Light" w:cs="Calibri Light"/>
          <w:color w:val="8EAADB" w:themeColor="accent1" w:themeTint="99"/>
        </w:rPr>
        <w:t>Society of Sisters</w:t>
      </w:r>
      <w:r w:rsidRPr="001E2B3F">
        <w:rPr>
          <w:rFonts w:ascii="Calibri Light" w:hAnsi="Calibri Light" w:cs="Calibri Light"/>
          <w:color w:val="8EAADB" w:themeColor="accent1" w:themeTint="99"/>
        </w:rPr>
        <w:t>, 268 U. S. 510 (1925) (requiring States to permit parents to send their children to nonpublic schools). The Court, however, did not make that (or any other) argument against this historical doctrine.</w:t>
      </w:r>
    </w:p>
    <w:p w14:paraId="61956754"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xml:space="preserve">     Instead, the Court simply abandoned the foundational rule without mentioning it. See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xml:space="preserve"> v. </w:t>
      </w:r>
      <w:r w:rsidRPr="001E2B3F">
        <w:rPr>
          <w:rStyle w:val="Emphasis"/>
          <w:rFonts w:ascii="Calibri Light" w:eastAsiaTheme="majorEastAsia" w:hAnsi="Calibri Light" w:cs="Calibri Light"/>
          <w:color w:val="8EAADB" w:themeColor="accent1" w:themeTint="99"/>
        </w:rPr>
        <w:t>Des Moines Independent Community School Dist.</w:t>
      </w:r>
      <w:r w:rsidRPr="001E2B3F">
        <w:rPr>
          <w:rFonts w:ascii="Calibri Light" w:hAnsi="Calibri Light" w:cs="Calibri Light"/>
          <w:color w:val="8EAADB" w:themeColor="accent1" w:themeTint="99"/>
        </w:rPr>
        <w:t xml:space="preserve">, 393 U. S. 503 (1969). Rather than wrestle with this history, the Court declared that it "ha[d] been the unmistakable holding of this Court for almost 50 years" </w:t>
      </w:r>
      <w:proofErr w:type="gramStart"/>
      <w:r w:rsidRPr="001E2B3F">
        <w:rPr>
          <w:rFonts w:ascii="Calibri Light" w:hAnsi="Calibri Light" w:cs="Calibri Light"/>
          <w:color w:val="8EAADB" w:themeColor="accent1" w:themeTint="99"/>
        </w:rPr>
        <w:t>that students</w:t>
      </w:r>
      <w:proofErr w:type="gramEnd"/>
      <w:r w:rsidRPr="001E2B3F">
        <w:rPr>
          <w:rFonts w:ascii="Calibri Light" w:hAnsi="Calibri Light" w:cs="Calibri Light"/>
          <w:color w:val="8EAADB" w:themeColor="accent1" w:themeTint="99"/>
        </w:rPr>
        <w:t xml:space="preserve"> have free-speech rights inside schools. </w:t>
      </w:r>
      <w:r w:rsidRPr="001E2B3F">
        <w:rPr>
          <w:rStyle w:val="Emphasis"/>
          <w:rFonts w:ascii="Calibri Light" w:eastAsiaTheme="majorEastAsia" w:hAnsi="Calibri Light" w:cs="Calibri Light"/>
          <w:color w:val="8EAADB" w:themeColor="accent1" w:themeTint="99"/>
        </w:rPr>
        <w:t>Id.,</w:t>
      </w:r>
      <w:r w:rsidRPr="001E2B3F">
        <w:rPr>
          <w:rFonts w:ascii="Calibri Light" w:hAnsi="Calibri Light" w:cs="Calibri Light"/>
          <w:color w:val="8EAADB" w:themeColor="accent1" w:themeTint="99"/>
        </w:rPr>
        <w:t xml:space="preserve"> at 506. "But the cases the Court cited in favor of that bold proposition do not support it." </w:t>
      </w:r>
      <w:r w:rsidRPr="001E2B3F">
        <w:rPr>
          <w:rStyle w:val="Emphasis"/>
          <w:rFonts w:ascii="Calibri Light" w:eastAsiaTheme="majorEastAsia" w:hAnsi="Calibri Light" w:cs="Calibri Light"/>
          <w:color w:val="8EAADB" w:themeColor="accent1" w:themeTint="99"/>
        </w:rPr>
        <w:t>Morse</w:t>
      </w:r>
      <w:r w:rsidRPr="001E2B3F">
        <w:rPr>
          <w:rFonts w:ascii="Calibri Light" w:hAnsi="Calibri Light" w:cs="Calibri Light"/>
          <w:color w:val="8EAADB" w:themeColor="accent1" w:themeTint="99"/>
        </w:rPr>
        <w:t>, 551 U. S., at 420, n. 8 (</w:t>
      </w:r>
      <w:r w:rsidRPr="001E2B3F">
        <w:rPr>
          <w:rFonts w:ascii="Calibri Light" w:hAnsi="Calibri Light" w:cs="Calibri Light"/>
          <w:caps/>
          <w:color w:val="8EAADB" w:themeColor="accent1" w:themeTint="99"/>
          <w:sz w:val="20"/>
          <w:szCs w:val="20"/>
        </w:rPr>
        <w:t xml:space="preserve">Thomas, J., </w:t>
      </w:r>
      <w:r w:rsidRPr="001E2B3F">
        <w:rPr>
          <w:rFonts w:ascii="Calibri Light" w:hAnsi="Calibri Light" w:cs="Calibri Light"/>
          <w:color w:val="8EAADB" w:themeColor="accent1" w:themeTint="99"/>
        </w:rPr>
        <w:t xml:space="preserve">concurring). The cases on which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xml:space="preserve"> chiefly relied concerned the rights of parents and private schools, not students. 551 U. S., at 420, n. 8.</w:t>
      </w:r>
      <w:r w:rsidRPr="001E2B3F">
        <w:rPr>
          <w:rStyle w:val="Emphasis"/>
          <w:rFonts w:ascii="Calibri Light" w:eastAsiaTheme="majorEastAsia" w:hAnsi="Calibri Light" w:cs="Calibri Light"/>
          <w:color w:val="8EAADB" w:themeColor="accent1" w:themeTint="99"/>
        </w:rPr>
        <w:t xml:space="preserve"> </w:t>
      </w:r>
      <w:r w:rsidRPr="001E2B3F">
        <w:rPr>
          <w:rFonts w:ascii="Calibri Light" w:hAnsi="Calibri Light" w:cs="Calibri Light"/>
          <w:color w:val="8EAADB" w:themeColor="accent1" w:themeTint="99"/>
        </w:rPr>
        <w:t>Of the 11 cases the Court cited, only one--</w:t>
      </w:r>
      <w:r w:rsidRPr="001E2B3F">
        <w:rPr>
          <w:rStyle w:val="Emphasis"/>
          <w:rFonts w:ascii="Calibri Light" w:eastAsiaTheme="majorEastAsia" w:hAnsi="Calibri Light" w:cs="Calibri Light"/>
          <w:color w:val="8EAADB" w:themeColor="accent1" w:themeTint="99"/>
        </w:rPr>
        <w:t>West Virginia Bd. of Ed.</w:t>
      </w:r>
      <w:r w:rsidRPr="001E2B3F">
        <w:rPr>
          <w:rFonts w:ascii="Calibri Light" w:hAnsi="Calibri Light" w:cs="Calibri Light"/>
          <w:color w:val="8EAADB" w:themeColor="accent1" w:themeTint="99"/>
        </w:rPr>
        <w:t xml:space="preserve"> v. </w:t>
      </w:r>
      <w:r w:rsidRPr="001E2B3F">
        <w:rPr>
          <w:rStyle w:val="Emphasis"/>
          <w:rFonts w:ascii="Calibri Light" w:eastAsiaTheme="majorEastAsia" w:hAnsi="Calibri Light" w:cs="Calibri Light"/>
          <w:color w:val="8EAADB" w:themeColor="accent1" w:themeTint="99"/>
        </w:rPr>
        <w:t>Barnette</w:t>
      </w:r>
      <w:r w:rsidRPr="001E2B3F">
        <w:rPr>
          <w:rFonts w:ascii="Calibri Light" w:hAnsi="Calibri Light" w:cs="Calibri Light"/>
          <w:color w:val="8EAADB" w:themeColor="accent1" w:themeTint="99"/>
        </w:rPr>
        <w:t>, 319 U. S. 624 (</w:t>
      </w:r>
      <w:proofErr w:type="gramStart"/>
      <w:r w:rsidRPr="001E2B3F">
        <w:rPr>
          <w:rFonts w:ascii="Calibri Light" w:hAnsi="Calibri Light" w:cs="Calibri Light"/>
          <w:color w:val="8EAADB" w:themeColor="accent1" w:themeTint="99"/>
        </w:rPr>
        <w:t>1943)--</w:t>
      </w:r>
      <w:proofErr w:type="gramEnd"/>
      <w:r w:rsidRPr="001E2B3F">
        <w:rPr>
          <w:rFonts w:ascii="Calibri Light" w:hAnsi="Calibri Light" w:cs="Calibri Light"/>
          <w:color w:val="8EAADB" w:themeColor="accent1" w:themeTint="99"/>
        </w:rPr>
        <w:t xml:space="preserve">was on point. But, like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xml:space="preserve">, </w:t>
      </w:r>
      <w:r w:rsidRPr="001E2B3F">
        <w:rPr>
          <w:rStyle w:val="Emphasis"/>
          <w:rFonts w:ascii="Calibri Light" w:eastAsiaTheme="majorEastAsia" w:hAnsi="Calibri Light" w:cs="Calibri Light"/>
          <w:color w:val="8EAADB" w:themeColor="accent1" w:themeTint="99"/>
        </w:rPr>
        <w:t>Barnette</w:t>
      </w:r>
      <w:r w:rsidRPr="001E2B3F">
        <w:rPr>
          <w:rFonts w:ascii="Calibri Light" w:hAnsi="Calibri Light" w:cs="Calibri Light"/>
          <w:color w:val="8EAADB" w:themeColor="accent1" w:themeTint="99"/>
        </w:rPr>
        <w:t xml:space="preserve"> failed to mention the historical doctrine undergirding school authority. Not until decades later did the Court even hint at this doctrine, </w:t>
      </w:r>
      <w:proofErr w:type="gramStart"/>
      <w:r w:rsidRPr="001E2B3F">
        <w:rPr>
          <w:rFonts w:ascii="Calibri Light" w:hAnsi="Calibri Light" w:cs="Calibri Light"/>
          <w:color w:val="8EAADB" w:themeColor="accent1" w:themeTint="99"/>
        </w:rPr>
        <w:t>and,</w:t>
      </w:r>
      <w:proofErr w:type="gramEnd"/>
      <w:r w:rsidRPr="001E2B3F">
        <w:rPr>
          <w:rFonts w:ascii="Calibri Light" w:hAnsi="Calibri Light" w:cs="Calibri Light"/>
          <w:color w:val="8EAADB" w:themeColor="accent1" w:themeTint="99"/>
        </w:rPr>
        <w:t xml:space="preserve"> then, only as an aside. See </w:t>
      </w:r>
      <w:r w:rsidRPr="001E2B3F">
        <w:rPr>
          <w:rStyle w:val="Emphasis"/>
          <w:rFonts w:ascii="Calibri Light" w:eastAsiaTheme="majorEastAsia" w:hAnsi="Calibri Light" w:cs="Calibri Light"/>
          <w:color w:val="8EAADB" w:themeColor="accent1" w:themeTint="99"/>
        </w:rPr>
        <w:t>Fraser</w:t>
      </w:r>
      <w:r w:rsidRPr="001E2B3F">
        <w:rPr>
          <w:rFonts w:ascii="Calibri Light" w:hAnsi="Calibri Light" w:cs="Calibri Light"/>
          <w:color w:val="8EAADB" w:themeColor="accent1" w:themeTint="99"/>
        </w:rPr>
        <w:t>, 478 U. S., at 684.</w:t>
      </w:r>
    </w:p>
    <w:p w14:paraId="3BA9F2BC"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xml:space="preserve">     The majority does no better today. At least it acknowledges that schools act </w:t>
      </w:r>
      <w:r w:rsidRPr="001E2B3F">
        <w:rPr>
          <w:rStyle w:val="Emphasis"/>
          <w:rFonts w:ascii="Calibri Light" w:eastAsiaTheme="majorEastAsia" w:hAnsi="Calibri Light" w:cs="Calibri Light"/>
          <w:color w:val="8EAADB" w:themeColor="accent1" w:themeTint="99"/>
        </w:rPr>
        <w:t>in loco parentis</w:t>
      </w:r>
      <w:r w:rsidRPr="001E2B3F">
        <w:rPr>
          <w:rFonts w:ascii="Calibri Light" w:hAnsi="Calibri Light" w:cs="Calibri Light"/>
          <w:color w:val="8EAADB" w:themeColor="accent1" w:themeTint="99"/>
        </w:rPr>
        <w:t xml:space="preserve"> when students speak on campus. See, </w:t>
      </w:r>
      <w:r w:rsidRPr="001E2B3F">
        <w:rPr>
          <w:rStyle w:val="Emphasis"/>
          <w:rFonts w:ascii="Calibri Light" w:eastAsiaTheme="majorEastAsia" w:hAnsi="Calibri Light" w:cs="Calibri Light"/>
          <w:color w:val="8EAADB" w:themeColor="accent1" w:themeTint="99"/>
        </w:rPr>
        <w:t>e.g.,</w:t>
      </w:r>
      <w:r w:rsidRPr="001E2B3F">
        <w:rPr>
          <w:rFonts w:ascii="Calibri Light" w:hAnsi="Calibri Light" w:cs="Calibri Light"/>
          <w:color w:val="8EAADB" w:themeColor="accent1" w:themeTint="99"/>
        </w:rPr>
        <w:t xml:space="preserve"> </w:t>
      </w:r>
      <w:r w:rsidRPr="001E2B3F">
        <w:rPr>
          <w:rStyle w:val="Emphasis"/>
          <w:rFonts w:ascii="Calibri Light" w:eastAsiaTheme="majorEastAsia" w:hAnsi="Calibri Light" w:cs="Calibri Light"/>
          <w:color w:val="8EAADB" w:themeColor="accent1" w:themeTint="99"/>
        </w:rPr>
        <w:t>ante,</w:t>
      </w:r>
      <w:r w:rsidRPr="001E2B3F">
        <w:rPr>
          <w:rFonts w:ascii="Calibri Light" w:hAnsi="Calibri Light" w:cs="Calibri Light"/>
          <w:color w:val="8EAADB" w:themeColor="accent1" w:themeTint="99"/>
        </w:rPr>
        <w:t xml:space="preserve"> at 5. But the majority fails to address the historical contours of that doctrine, whether the doctrine applies to off-campus speech, or why the Court has abandoned it.</w:t>
      </w:r>
    </w:p>
    <w:p w14:paraId="01D1DB63" w14:textId="77777777" w:rsidR="001E2B3F" w:rsidRPr="001E2B3F" w:rsidRDefault="001E2B3F" w:rsidP="001E2B3F">
      <w:pPr>
        <w:pStyle w:val="NormalWeb"/>
        <w:jc w:val="center"/>
        <w:outlineLvl w:val="3"/>
        <w:rPr>
          <w:rFonts w:ascii="Calibri Light" w:hAnsi="Calibri Light" w:cs="Calibri Light"/>
          <w:b/>
          <w:bCs/>
          <w:color w:val="8EAADB" w:themeColor="accent1" w:themeTint="99"/>
          <w:sz w:val="27"/>
          <w:szCs w:val="27"/>
        </w:rPr>
      </w:pPr>
      <w:r w:rsidRPr="001E2B3F">
        <w:rPr>
          <w:rFonts w:ascii="Calibri Light" w:hAnsi="Calibri Light" w:cs="Calibri Light"/>
          <w:b/>
          <w:bCs/>
          <w:color w:val="8EAADB" w:themeColor="accent1" w:themeTint="99"/>
          <w:sz w:val="27"/>
          <w:szCs w:val="27"/>
        </w:rPr>
        <w:t>B</w:t>
      </w:r>
    </w:p>
    <w:p w14:paraId="6ADA0435"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xml:space="preserve">     The Court's failure to explain itself in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xml:space="preserve"> needlessly makes this case more difficult. Unlike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xml:space="preserve">, which involved a school's authority under a straightforward fact pattern, this case involves speech made in one location but capable of being received in countless others--an issue that has been aggravated exponentially by recent technological advances. The Court's decision not to create a solid foundation in </w:t>
      </w:r>
      <w:r w:rsidRPr="001E2B3F">
        <w:rPr>
          <w:rStyle w:val="Emphasis"/>
          <w:rFonts w:ascii="Calibri Light" w:eastAsiaTheme="majorEastAsia" w:hAnsi="Calibri Light" w:cs="Calibri Light"/>
          <w:color w:val="8EAADB" w:themeColor="accent1" w:themeTint="99"/>
        </w:rPr>
        <w:t>Tinker</w:t>
      </w:r>
      <w:r w:rsidRPr="001E2B3F">
        <w:rPr>
          <w:rFonts w:ascii="Calibri Light" w:hAnsi="Calibri Light" w:cs="Calibri Light"/>
          <w:color w:val="8EAADB" w:themeColor="accent1" w:themeTint="99"/>
        </w:rPr>
        <w:t>, and now here not to consult the relevant history, predictably causes the majority to ignore relevant analysis.</w:t>
      </w:r>
    </w:p>
    <w:p w14:paraId="48E05BA5"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First, the majority gives little apparent significance to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decision to participate in an extracurricular activity. But the historical test suggests that authority of schools over off-campus speech may be greater when students participate in extracurricular programs. The </w:t>
      </w:r>
      <w:r w:rsidRPr="001E2B3F">
        <w:rPr>
          <w:rStyle w:val="Emphasis"/>
          <w:rFonts w:ascii="Calibri Light" w:eastAsiaTheme="majorEastAsia" w:hAnsi="Calibri Light" w:cs="Calibri Light"/>
          <w:color w:val="8EAADB" w:themeColor="accent1" w:themeTint="99"/>
        </w:rPr>
        <w:t>Lander</w:t>
      </w:r>
      <w:r w:rsidRPr="001E2B3F">
        <w:rPr>
          <w:rFonts w:ascii="Calibri Light" w:hAnsi="Calibri Light" w:cs="Calibri Light"/>
          <w:color w:val="8EAADB" w:themeColor="accent1" w:themeTint="99"/>
        </w:rPr>
        <w:t xml:space="preserve"> test focuses on the </w:t>
      </w:r>
      <w:r w:rsidRPr="001E2B3F">
        <w:rPr>
          <w:rStyle w:val="Emphasis"/>
          <w:rFonts w:ascii="Calibri Light" w:eastAsiaTheme="majorEastAsia" w:hAnsi="Calibri Light" w:cs="Calibri Light"/>
          <w:color w:val="8EAADB" w:themeColor="accent1" w:themeTint="99"/>
        </w:rPr>
        <w:t>effect</w:t>
      </w:r>
      <w:r w:rsidRPr="001E2B3F">
        <w:rPr>
          <w:rFonts w:ascii="Calibri Light" w:hAnsi="Calibri Light" w:cs="Calibri Light"/>
          <w:color w:val="8EAADB" w:themeColor="accent1" w:themeTint="99"/>
        </w:rPr>
        <w:t xml:space="preserve"> of speech, not its location. </w:t>
      </w:r>
      <w:proofErr w:type="gramStart"/>
      <w:r w:rsidRPr="001E2B3F">
        <w:rPr>
          <w:rFonts w:ascii="Calibri Light" w:hAnsi="Calibri Light" w:cs="Calibri Light"/>
          <w:color w:val="8EAADB" w:themeColor="accent1" w:themeTint="99"/>
        </w:rPr>
        <w:t>So</w:t>
      </w:r>
      <w:proofErr w:type="gramEnd"/>
      <w:r w:rsidRPr="001E2B3F">
        <w:rPr>
          <w:rFonts w:ascii="Calibri Light" w:hAnsi="Calibri Light" w:cs="Calibri Light"/>
          <w:color w:val="8EAADB" w:themeColor="accent1" w:themeTint="99"/>
        </w:rPr>
        <w:t xml:space="preserve"> students like B. L. who are active in extracurricular programs have a greater potential, by virtue of their participation, to harm those programs. For example, a profanity-laced screed delivered on social media or at the mall has a much different effect on a football program when done by a regular student than when done by the captain of the football team. So, too, here.</w:t>
      </w:r>
    </w:p>
    <w:p w14:paraId="62289332" w14:textId="77777777"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lastRenderedPageBreak/>
        <w:t xml:space="preserve">     Second, the majority fails to consider whether schools often will have </w:t>
      </w:r>
      <w:r w:rsidRPr="001E2B3F">
        <w:rPr>
          <w:rStyle w:val="Emphasis"/>
          <w:rFonts w:ascii="Calibri Light" w:eastAsiaTheme="majorEastAsia" w:hAnsi="Calibri Light" w:cs="Calibri Light"/>
          <w:color w:val="8EAADB" w:themeColor="accent1" w:themeTint="99"/>
        </w:rPr>
        <w:t>more</w:t>
      </w:r>
      <w:r w:rsidRPr="001E2B3F">
        <w:rPr>
          <w:rFonts w:ascii="Calibri Light" w:hAnsi="Calibri Light" w:cs="Calibri Light"/>
          <w:color w:val="8EAADB" w:themeColor="accent1" w:themeTint="99"/>
        </w:rPr>
        <w:t xml:space="preserve"> authority, not less, to discipline students who transmit speech through social media. Because off-campus speech made through social media can be received on campus (and can spread rapidly to countless people), it often will have a greater proximate tendency to harm the school environment than will an off-campus in-person conversation.</w:t>
      </w:r>
    </w:p>
    <w:p w14:paraId="49A3BF3A" w14:textId="17813294"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Third, and relatedly, the majority uncritically adopts the assumption that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in fact, was off campus</w:t>
      </w:r>
      <w:r w:rsidR="00F53193">
        <w:rPr>
          <w:rFonts w:ascii="Calibri Light" w:hAnsi="Calibri Light" w:cs="Calibri Light"/>
          <w:color w:val="8EAADB" w:themeColor="accent1" w:themeTint="99"/>
        </w:rPr>
        <w:t>. . .</w:t>
      </w:r>
    </w:p>
    <w:p w14:paraId="5CFB7F54" w14:textId="527E1B20" w:rsidR="001E2B3F" w:rsidRPr="001E2B3F" w:rsidRDefault="001E2B3F" w:rsidP="00F53193">
      <w:pPr>
        <w:pStyle w:val="NormalWeb"/>
        <w:rPr>
          <w:rFonts w:ascii="Calibri Light" w:hAnsi="Calibri Light" w:cs="Calibri Light"/>
          <w:b/>
          <w:bCs/>
          <w:color w:val="8EAADB" w:themeColor="accent1" w:themeTint="99"/>
          <w:sz w:val="27"/>
          <w:szCs w:val="27"/>
        </w:rPr>
      </w:pPr>
      <w:r w:rsidRPr="001E2B3F">
        <w:rPr>
          <w:rFonts w:ascii="Calibri Light" w:hAnsi="Calibri Light" w:cs="Calibri Light"/>
          <w:color w:val="8EAADB" w:themeColor="accent1" w:themeTint="99"/>
        </w:rPr>
        <w:t>     Here, it makes sense to treat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as off-campus speech. There is little evidence that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was received on campus. The cheerleading coach, in fact, did not view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She viewed a </w:t>
      </w:r>
      <w:r w:rsidRPr="001E2B3F">
        <w:rPr>
          <w:rStyle w:val="Emphasis"/>
          <w:rFonts w:ascii="Calibri Light" w:eastAsiaTheme="majorEastAsia" w:hAnsi="Calibri Light" w:cs="Calibri Light"/>
          <w:color w:val="8EAADB" w:themeColor="accent1" w:themeTint="99"/>
        </w:rPr>
        <w:t>copy</w:t>
      </w:r>
      <w:r w:rsidRPr="001E2B3F">
        <w:rPr>
          <w:rFonts w:ascii="Calibri Light" w:hAnsi="Calibri Light" w:cs="Calibri Light"/>
          <w:color w:val="8EAADB" w:themeColor="accent1" w:themeTint="99"/>
        </w:rPr>
        <w:t xml:space="preserve"> of that speech (a screenshot) created by another student. </w:t>
      </w:r>
      <w:r w:rsidRPr="001E2B3F">
        <w:rPr>
          <w:rStyle w:val="Emphasis"/>
          <w:rFonts w:ascii="Calibri Light" w:eastAsiaTheme="majorEastAsia" w:hAnsi="Calibri Light" w:cs="Calibri Light"/>
          <w:color w:val="8EAADB" w:themeColor="accent1" w:themeTint="99"/>
        </w:rPr>
        <w:t>Ante</w:t>
      </w:r>
      <w:r w:rsidRPr="001E2B3F">
        <w:rPr>
          <w:rFonts w:ascii="Calibri Light" w:hAnsi="Calibri Light" w:cs="Calibri Light"/>
          <w:color w:val="8EAADB" w:themeColor="accent1" w:themeTint="99"/>
        </w:rPr>
        <w:t xml:space="preserve">, at 2. </w:t>
      </w:r>
      <w:proofErr w:type="gramStart"/>
      <w:r w:rsidRPr="001E2B3F">
        <w:rPr>
          <w:rFonts w:ascii="Calibri Light" w:hAnsi="Calibri Light" w:cs="Calibri Light"/>
          <w:color w:val="8EAADB" w:themeColor="accent1" w:themeTint="99"/>
        </w:rPr>
        <w:t>But,</w:t>
      </w:r>
      <w:proofErr w:type="gramEnd"/>
      <w:r w:rsidRPr="001E2B3F">
        <w:rPr>
          <w:rFonts w:ascii="Calibri Light" w:hAnsi="Calibri Light" w:cs="Calibri Light"/>
          <w:color w:val="8EAADB" w:themeColor="accent1" w:themeTint="99"/>
        </w:rPr>
        <w:t xml:space="preserve"> the majority mentions none of this. It simply, and uncritically, assumes that B. </w:t>
      </w:r>
      <w:proofErr w:type="spellStart"/>
      <w:r w:rsidRPr="001E2B3F">
        <w:rPr>
          <w:rFonts w:ascii="Calibri Light" w:hAnsi="Calibri Light" w:cs="Calibri Light"/>
          <w:color w:val="8EAADB" w:themeColor="accent1" w:themeTint="99"/>
        </w:rPr>
        <w:t>L.'s</w:t>
      </w:r>
      <w:proofErr w:type="spellEnd"/>
      <w:r w:rsidRPr="001E2B3F">
        <w:rPr>
          <w:rFonts w:ascii="Calibri Light" w:hAnsi="Calibri Light" w:cs="Calibri Light"/>
          <w:color w:val="8EAADB" w:themeColor="accent1" w:themeTint="99"/>
        </w:rPr>
        <w:t xml:space="preserve"> speech was off campus. Because it creates a test untethered from history, it bypasses this relevant </w:t>
      </w:r>
      <w:proofErr w:type="gramStart"/>
      <w:r w:rsidRPr="001E2B3F">
        <w:rPr>
          <w:rFonts w:ascii="Calibri Light" w:hAnsi="Calibri Light" w:cs="Calibri Light"/>
          <w:color w:val="8EAADB" w:themeColor="accent1" w:themeTint="99"/>
        </w:rPr>
        <w:t>inquiry.</w:t>
      </w:r>
      <w:r w:rsidRPr="001E2B3F">
        <w:rPr>
          <w:rFonts w:ascii="Calibri Light" w:hAnsi="Calibri Light" w:cs="Calibri Light"/>
          <w:b/>
          <w:bCs/>
          <w:color w:val="8EAADB" w:themeColor="accent1" w:themeTint="99"/>
          <w:sz w:val="27"/>
          <w:szCs w:val="27"/>
        </w:rPr>
        <w:t>*</w:t>
      </w:r>
      <w:proofErr w:type="gramEnd"/>
      <w:r w:rsidRPr="001E2B3F">
        <w:rPr>
          <w:rFonts w:ascii="Calibri Light" w:hAnsi="Calibri Light" w:cs="Calibri Light"/>
          <w:b/>
          <w:bCs/>
          <w:color w:val="8EAADB" w:themeColor="accent1" w:themeTint="99"/>
          <w:sz w:val="27"/>
          <w:szCs w:val="27"/>
        </w:rPr>
        <w:t> </w:t>
      </w:r>
      <w:r w:rsidRPr="001E2B3F">
        <w:rPr>
          <w:rFonts w:ascii="Calibri Light" w:hAnsi="Calibri Light" w:cs="Calibri Light"/>
          <w:b/>
          <w:bCs/>
          <w:color w:val="8EAADB" w:themeColor="accent1" w:themeTint="99"/>
          <w:sz w:val="27"/>
          <w:szCs w:val="27"/>
        </w:rPr>
        <w:t> </w:t>
      </w:r>
      <w:r w:rsidRPr="001E2B3F">
        <w:rPr>
          <w:rFonts w:ascii="Calibri Light" w:hAnsi="Calibri Light" w:cs="Calibri Light"/>
          <w:b/>
          <w:bCs/>
          <w:color w:val="8EAADB" w:themeColor="accent1" w:themeTint="99"/>
          <w:sz w:val="27"/>
          <w:szCs w:val="27"/>
        </w:rPr>
        <w:t>*</w:t>
      </w:r>
      <w:r w:rsidRPr="001E2B3F">
        <w:rPr>
          <w:rFonts w:ascii="Calibri Light" w:hAnsi="Calibri Light" w:cs="Calibri Light"/>
          <w:b/>
          <w:bCs/>
          <w:color w:val="8EAADB" w:themeColor="accent1" w:themeTint="99"/>
          <w:sz w:val="27"/>
          <w:szCs w:val="27"/>
        </w:rPr>
        <w:t> </w:t>
      </w:r>
      <w:r w:rsidRPr="001E2B3F">
        <w:rPr>
          <w:rFonts w:ascii="Calibri Light" w:hAnsi="Calibri Light" w:cs="Calibri Light"/>
          <w:b/>
          <w:bCs/>
          <w:color w:val="8EAADB" w:themeColor="accent1" w:themeTint="99"/>
          <w:sz w:val="27"/>
          <w:szCs w:val="27"/>
        </w:rPr>
        <w:t> </w:t>
      </w:r>
      <w:r w:rsidRPr="001E2B3F">
        <w:rPr>
          <w:rFonts w:ascii="Calibri Light" w:hAnsi="Calibri Light" w:cs="Calibri Light"/>
          <w:b/>
          <w:bCs/>
          <w:color w:val="8EAADB" w:themeColor="accent1" w:themeTint="99"/>
          <w:sz w:val="27"/>
          <w:szCs w:val="27"/>
        </w:rPr>
        <w:t>*</w:t>
      </w:r>
    </w:p>
    <w:p w14:paraId="3750AF3B" w14:textId="23214D92" w:rsidR="001E2B3F" w:rsidRPr="001E2B3F" w:rsidRDefault="001E2B3F" w:rsidP="001E2B3F">
      <w:pPr>
        <w:pStyle w:val="NormalWeb"/>
        <w:rPr>
          <w:rFonts w:ascii="Calibri Light" w:hAnsi="Calibri Light" w:cs="Calibri Light"/>
          <w:color w:val="8EAADB" w:themeColor="accent1" w:themeTint="99"/>
        </w:rPr>
      </w:pPr>
      <w:r w:rsidRPr="001E2B3F">
        <w:rPr>
          <w:rFonts w:ascii="Calibri Light" w:hAnsi="Calibri Light" w:cs="Calibri Light"/>
          <w:color w:val="8EAADB" w:themeColor="accent1" w:themeTint="99"/>
        </w:rPr>
        <w:t>     The Court transparently takes a common-law approach to today's decision. In effect, it states just one rule: Schools can regulate speech less often when that speech occurs off campus. It then identifies this case as an "example" and "</w:t>
      </w:r>
      <w:proofErr w:type="spellStart"/>
      <w:r w:rsidRPr="001E2B3F">
        <w:rPr>
          <w:rFonts w:ascii="Calibri Light" w:hAnsi="Calibri Light" w:cs="Calibri Light"/>
          <w:color w:val="8EAADB" w:themeColor="accent1" w:themeTint="99"/>
        </w:rPr>
        <w:t>leav</w:t>
      </w:r>
      <w:proofErr w:type="spellEnd"/>
      <w:r w:rsidRPr="001E2B3F">
        <w:rPr>
          <w:rFonts w:ascii="Calibri Light" w:hAnsi="Calibri Light" w:cs="Calibri Light"/>
          <w:color w:val="8EAADB" w:themeColor="accent1" w:themeTint="99"/>
        </w:rPr>
        <w:t xml:space="preserve">[es] for future cases" the job of developing this new common-law doctrine. </w:t>
      </w:r>
      <w:r w:rsidRPr="001E2B3F">
        <w:rPr>
          <w:rStyle w:val="Emphasis"/>
          <w:rFonts w:ascii="Calibri Light" w:eastAsiaTheme="majorEastAsia" w:hAnsi="Calibri Light" w:cs="Calibri Light"/>
          <w:color w:val="8EAADB" w:themeColor="accent1" w:themeTint="99"/>
        </w:rPr>
        <w:t>Ante</w:t>
      </w:r>
      <w:r w:rsidRPr="001E2B3F">
        <w:rPr>
          <w:rFonts w:ascii="Calibri Light" w:hAnsi="Calibri Light" w:cs="Calibri Light"/>
          <w:color w:val="8EAADB" w:themeColor="accent1" w:themeTint="99"/>
        </w:rPr>
        <w:t xml:space="preserve">, at 7-8. But the Court's foundation is untethered from anything stable, and courts (and schools) will almost certainly be at a loss as to what exactly the Court's opinion today </w:t>
      </w:r>
      <w:proofErr w:type="gramStart"/>
      <w:r w:rsidRPr="001E2B3F">
        <w:rPr>
          <w:rFonts w:ascii="Calibri Light" w:hAnsi="Calibri Light" w:cs="Calibri Light"/>
          <w:color w:val="8EAADB" w:themeColor="accent1" w:themeTint="99"/>
        </w:rPr>
        <w:t>means.</w:t>
      </w:r>
      <w:r w:rsidR="00F53193">
        <w:rPr>
          <w:rFonts w:ascii="Calibri Light" w:hAnsi="Calibri Light" w:cs="Calibri Light"/>
          <w:color w:val="8EAADB" w:themeColor="accent1" w:themeTint="99"/>
        </w:rPr>
        <w:t>. . .</w:t>
      </w:r>
      <w:proofErr w:type="gramEnd"/>
    </w:p>
    <w:p w14:paraId="2D5F2B9F" w14:textId="00053C81" w:rsidR="001E2B3F" w:rsidRDefault="001E2B3F" w:rsidP="001E2B3F">
      <w:pPr>
        <w:pStyle w:val="NormalWeb"/>
      </w:pPr>
      <w:r w:rsidRPr="001E2B3F">
        <w:rPr>
          <w:rFonts w:ascii="Calibri Light" w:hAnsi="Calibri Light" w:cs="Calibri Light"/>
          <w:color w:val="8EAADB" w:themeColor="accent1" w:themeTint="99"/>
        </w:rPr>
        <w:t>     Perhaps there are good constitutional reasons to depart from the historical rule, and perhaps this Court and lower courts will identify and explain these reasons in the future. But because the Court does not do so today, and because it reaches the wrong result under the appropriate historical test, I respectfully dissent.</w:t>
      </w:r>
      <w:r w:rsidR="00E1670A">
        <w:rPr>
          <w:rFonts w:ascii="Calibri Light" w:hAnsi="Calibri Light" w:cs="Calibri Light"/>
          <w:color w:val="8EAADB" w:themeColor="accent1" w:themeTint="99"/>
        </w:rPr>
        <w:t>”</w:t>
      </w:r>
    </w:p>
    <w:p w14:paraId="1351895C" w14:textId="77777777" w:rsidR="008138AF" w:rsidRDefault="008138AF"/>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8D"/>
    <w:rsid w:val="001165E1"/>
    <w:rsid w:val="001E2B3F"/>
    <w:rsid w:val="00473685"/>
    <w:rsid w:val="008138AF"/>
    <w:rsid w:val="008F0F8D"/>
    <w:rsid w:val="00E1670A"/>
    <w:rsid w:val="00F5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7336"/>
  <w15:chartTrackingRefBased/>
  <w15:docId w15:val="{FA739E6B-44F0-463D-BE83-AB70B4A9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0F8D"/>
    <w:pPr>
      <w:numPr>
        <w:numId w:val="1"/>
      </w:numPr>
      <w:spacing w:before="600" w:after="60" w:line="288" w:lineRule="auto"/>
      <w:outlineLvl w:val="0"/>
    </w:pPr>
    <w:rPr>
      <w:rFonts w:asciiTheme="majorHAnsi" w:hAnsiTheme="majorHAnsi" w:cstheme="minorBidi"/>
      <w:caps/>
      <w:color w:val="ED7D31" w:themeColor="accent2"/>
      <w:spacing w:val="14"/>
      <w:sz w:val="26"/>
      <w:szCs w:val="26"/>
      <w:lang w:eastAsia="ja-JP"/>
    </w:rPr>
  </w:style>
  <w:style w:type="paragraph" w:styleId="Heading2">
    <w:name w:val="heading 2"/>
    <w:basedOn w:val="Normal"/>
    <w:link w:val="Heading2Char"/>
    <w:uiPriority w:val="9"/>
    <w:unhideWhenUsed/>
    <w:qFormat/>
    <w:rsid w:val="008F0F8D"/>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eastAsia="ja-JP"/>
    </w:rPr>
  </w:style>
  <w:style w:type="paragraph" w:styleId="Heading3">
    <w:name w:val="heading 3"/>
    <w:basedOn w:val="Normal"/>
    <w:link w:val="Heading3Char"/>
    <w:uiPriority w:val="9"/>
    <w:unhideWhenUsed/>
    <w:qFormat/>
    <w:rsid w:val="008F0F8D"/>
    <w:pPr>
      <w:numPr>
        <w:ilvl w:val="2"/>
        <w:numId w:val="1"/>
      </w:numPr>
      <w:spacing w:before="40" w:after="0" w:line="288" w:lineRule="auto"/>
      <w:outlineLvl w:val="2"/>
    </w:pPr>
    <w:rPr>
      <w:rFonts w:asciiTheme="majorHAnsi" w:eastAsiaTheme="majorEastAsia" w:hAnsiTheme="majorHAnsi" w:cstheme="majorBidi"/>
      <w:color w:val="4472C4" w:themeColor="accent1"/>
      <w:sz w:val="22"/>
      <w:szCs w:val="24"/>
      <w:lang w:eastAsia="ja-JP"/>
    </w:rPr>
  </w:style>
  <w:style w:type="paragraph" w:styleId="Heading4">
    <w:name w:val="heading 4"/>
    <w:basedOn w:val="Normal"/>
    <w:link w:val="Heading4Char"/>
    <w:uiPriority w:val="9"/>
    <w:unhideWhenUsed/>
    <w:qFormat/>
    <w:rsid w:val="008F0F8D"/>
    <w:pPr>
      <w:numPr>
        <w:ilvl w:val="3"/>
        <w:numId w:val="1"/>
      </w:numPr>
      <w:spacing w:before="40" w:after="0" w:line="288" w:lineRule="auto"/>
      <w:outlineLvl w:val="3"/>
    </w:pPr>
    <w:rPr>
      <w:rFonts w:asciiTheme="majorHAnsi" w:eastAsiaTheme="majorEastAsia" w:hAnsiTheme="majorHAnsi" w:cstheme="majorBidi"/>
      <w:i/>
      <w:iCs/>
      <w:color w:val="4472C4" w:themeColor="accent1"/>
      <w:spacing w:val="6"/>
      <w:sz w:val="22"/>
      <w:szCs w:val="22"/>
      <w:lang w:eastAsia="ja-JP"/>
    </w:rPr>
  </w:style>
  <w:style w:type="paragraph" w:styleId="Heading5">
    <w:name w:val="heading 5"/>
    <w:basedOn w:val="Normal"/>
    <w:link w:val="Heading5Char"/>
    <w:uiPriority w:val="9"/>
    <w:unhideWhenUsed/>
    <w:qFormat/>
    <w:rsid w:val="008F0F8D"/>
    <w:pPr>
      <w:numPr>
        <w:ilvl w:val="4"/>
        <w:numId w:val="1"/>
      </w:numPr>
      <w:spacing w:before="40" w:after="0" w:line="288" w:lineRule="auto"/>
      <w:outlineLvl w:val="4"/>
    </w:pPr>
    <w:rPr>
      <w:rFonts w:asciiTheme="majorHAnsi" w:eastAsiaTheme="majorEastAsia" w:hAnsiTheme="majorHAnsi" w:cstheme="majorBidi"/>
      <w:i/>
      <w:color w:val="ED7D31" w:themeColor="accent2"/>
      <w:spacing w:val="6"/>
      <w:sz w:val="22"/>
      <w:szCs w:val="22"/>
      <w:lang w:eastAsia="ja-JP"/>
    </w:rPr>
  </w:style>
  <w:style w:type="paragraph" w:styleId="Heading6">
    <w:name w:val="heading 6"/>
    <w:basedOn w:val="Normal"/>
    <w:link w:val="Heading6Char"/>
    <w:uiPriority w:val="9"/>
    <w:unhideWhenUsed/>
    <w:qFormat/>
    <w:rsid w:val="008F0F8D"/>
    <w:pPr>
      <w:numPr>
        <w:ilvl w:val="5"/>
        <w:numId w:val="1"/>
      </w:numPr>
      <w:spacing w:before="40" w:after="0" w:line="288" w:lineRule="auto"/>
      <w:outlineLvl w:val="5"/>
    </w:pPr>
    <w:rPr>
      <w:rFonts w:asciiTheme="majorHAnsi" w:eastAsiaTheme="majorEastAsia" w:hAnsiTheme="majorHAnsi" w:cstheme="majorBidi"/>
      <w:color w:val="ED7D31" w:themeColor="accent2"/>
      <w:spacing w:val="12"/>
      <w:sz w:val="22"/>
      <w:szCs w:val="22"/>
      <w:lang w:eastAsia="ja-JP"/>
    </w:rPr>
  </w:style>
  <w:style w:type="paragraph" w:styleId="Heading7">
    <w:name w:val="heading 7"/>
    <w:basedOn w:val="Normal"/>
    <w:link w:val="Heading7Char"/>
    <w:uiPriority w:val="9"/>
    <w:unhideWhenUsed/>
    <w:qFormat/>
    <w:rsid w:val="008F0F8D"/>
    <w:pPr>
      <w:numPr>
        <w:ilvl w:val="6"/>
        <w:numId w:val="1"/>
      </w:numPr>
      <w:spacing w:before="40" w:after="0" w:line="288" w:lineRule="auto"/>
      <w:outlineLvl w:val="6"/>
    </w:pPr>
    <w:rPr>
      <w:rFonts w:asciiTheme="majorHAnsi" w:eastAsiaTheme="majorEastAsia" w:hAnsiTheme="majorHAnsi" w:cstheme="majorBidi"/>
      <w:iCs/>
      <w:color w:val="ED7D31" w:themeColor="accent2"/>
      <w:sz w:val="22"/>
      <w:szCs w:val="22"/>
      <w:lang w:eastAsia="ja-JP"/>
    </w:rPr>
  </w:style>
  <w:style w:type="paragraph" w:styleId="Heading8">
    <w:name w:val="heading 8"/>
    <w:basedOn w:val="Normal"/>
    <w:link w:val="Heading8Char"/>
    <w:uiPriority w:val="9"/>
    <w:semiHidden/>
    <w:unhideWhenUsed/>
    <w:qFormat/>
    <w:rsid w:val="008F0F8D"/>
    <w:pPr>
      <w:numPr>
        <w:ilvl w:val="7"/>
        <w:numId w:val="1"/>
      </w:numPr>
      <w:spacing w:before="40" w:after="0" w:line="288" w:lineRule="auto"/>
      <w:outlineLvl w:val="7"/>
    </w:pPr>
    <w:rPr>
      <w:rFonts w:asciiTheme="majorHAnsi" w:eastAsiaTheme="majorEastAsia" w:hAnsiTheme="majorHAnsi" w:cstheme="majorBidi"/>
      <w:i/>
      <w:color w:val="F19D64" w:themeColor="accent2" w:themeTint="BF"/>
      <w:sz w:val="22"/>
      <w:szCs w:val="21"/>
      <w:lang w:eastAsia="ja-JP"/>
    </w:rPr>
  </w:style>
  <w:style w:type="paragraph" w:styleId="Heading9">
    <w:name w:val="heading 9"/>
    <w:basedOn w:val="Normal"/>
    <w:link w:val="Heading9Char"/>
    <w:uiPriority w:val="9"/>
    <w:semiHidden/>
    <w:unhideWhenUsed/>
    <w:qFormat/>
    <w:rsid w:val="008F0F8D"/>
    <w:pPr>
      <w:numPr>
        <w:ilvl w:val="8"/>
        <w:numId w:val="1"/>
      </w:numPr>
      <w:spacing w:before="40" w:after="0" w:line="288" w:lineRule="auto"/>
      <w:outlineLvl w:val="8"/>
    </w:pPr>
    <w:rPr>
      <w:rFonts w:asciiTheme="majorHAnsi" w:eastAsiaTheme="majorEastAsia" w:hAnsiTheme="majorHAnsi" w:cstheme="majorBidi"/>
      <w:iCs/>
      <w:color w:val="F19D64" w:themeColor="accent2" w:themeTint="BF"/>
      <w:sz w:val="22"/>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8D"/>
    <w:rPr>
      <w:rFonts w:asciiTheme="majorHAnsi" w:hAnsiTheme="majorHAnsi" w:cstheme="minorBidi"/>
      <w:caps/>
      <w:color w:val="ED7D31" w:themeColor="accent2"/>
      <w:spacing w:val="14"/>
      <w:sz w:val="26"/>
      <w:szCs w:val="26"/>
      <w:lang w:eastAsia="ja-JP"/>
    </w:rPr>
  </w:style>
  <w:style w:type="character" w:customStyle="1" w:styleId="Heading2Char">
    <w:name w:val="Heading 2 Char"/>
    <w:basedOn w:val="DefaultParagraphFont"/>
    <w:link w:val="Heading2"/>
    <w:uiPriority w:val="9"/>
    <w:rsid w:val="008F0F8D"/>
    <w:rPr>
      <w:rFonts w:asciiTheme="majorHAnsi" w:eastAsiaTheme="majorEastAsia" w:hAnsiTheme="majorHAnsi" w:cstheme="majorBidi"/>
      <w:color w:val="ED7D31" w:themeColor="accent2"/>
      <w:sz w:val="22"/>
      <w:szCs w:val="26"/>
      <w:lang w:eastAsia="ja-JP"/>
    </w:rPr>
  </w:style>
  <w:style w:type="character" w:customStyle="1" w:styleId="Heading3Char">
    <w:name w:val="Heading 3 Char"/>
    <w:basedOn w:val="DefaultParagraphFont"/>
    <w:link w:val="Heading3"/>
    <w:uiPriority w:val="9"/>
    <w:rsid w:val="008F0F8D"/>
    <w:rPr>
      <w:rFonts w:asciiTheme="majorHAnsi" w:eastAsiaTheme="majorEastAsia" w:hAnsiTheme="majorHAnsi" w:cstheme="majorBidi"/>
      <w:color w:val="4472C4" w:themeColor="accent1"/>
      <w:sz w:val="22"/>
      <w:szCs w:val="24"/>
      <w:lang w:eastAsia="ja-JP"/>
    </w:rPr>
  </w:style>
  <w:style w:type="character" w:customStyle="1" w:styleId="Heading4Char">
    <w:name w:val="Heading 4 Char"/>
    <w:basedOn w:val="DefaultParagraphFont"/>
    <w:link w:val="Heading4"/>
    <w:uiPriority w:val="9"/>
    <w:rsid w:val="008F0F8D"/>
    <w:rPr>
      <w:rFonts w:asciiTheme="majorHAnsi" w:eastAsiaTheme="majorEastAsia" w:hAnsiTheme="majorHAnsi" w:cstheme="majorBidi"/>
      <w:i/>
      <w:iCs/>
      <w:color w:val="4472C4" w:themeColor="accent1"/>
      <w:spacing w:val="6"/>
      <w:sz w:val="22"/>
      <w:szCs w:val="22"/>
      <w:lang w:eastAsia="ja-JP"/>
    </w:rPr>
  </w:style>
  <w:style w:type="character" w:customStyle="1" w:styleId="Heading5Char">
    <w:name w:val="Heading 5 Char"/>
    <w:basedOn w:val="DefaultParagraphFont"/>
    <w:link w:val="Heading5"/>
    <w:uiPriority w:val="9"/>
    <w:rsid w:val="008F0F8D"/>
    <w:rPr>
      <w:rFonts w:asciiTheme="majorHAnsi" w:eastAsiaTheme="majorEastAsia" w:hAnsiTheme="majorHAnsi" w:cstheme="majorBidi"/>
      <w:i/>
      <w:color w:val="ED7D31" w:themeColor="accent2"/>
      <w:spacing w:val="6"/>
      <w:sz w:val="22"/>
      <w:szCs w:val="22"/>
      <w:lang w:eastAsia="ja-JP"/>
    </w:rPr>
  </w:style>
  <w:style w:type="character" w:customStyle="1" w:styleId="Heading6Char">
    <w:name w:val="Heading 6 Char"/>
    <w:basedOn w:val="DefaultParagraphFont"/>
    <w:link w:val="Heading6"/>
    <w:uiPriority w:val="9"/>
    <w:rsid w:val="008F0F8D"/>
    <w:rPr>
      <w:rFonts w:asciiTheme="majorHAnsi" w:eastAsiaTheme="majorEastAsia" w:hAnsiTheme="majorHAnsi" w:cstheme="majorBidi"/>
      <w:color w:val="ED7D31" w:themeColor="accent2"/>
      <w:spacing w:val="12"/>
      <w:sz w:val="22"/>
      <w:szCs w:val="22"/>
      <w:lang w:eastAsia="ja-JP"/>
    </w:rPr>
  </w:style>
  <w:style w:type="character" w:customStyle="1" w:styleId="Heading7Char">
    <w:name w:val="Heading 7 Char"/>
    <w:basedOn w:val="DefaultParagraphFont"/>
    <w:link w:val="Heading7"/>
    <w:uiPriority w:val="9"/>
    <w:rsid w:val="008F0F8D"/>
    <w:rPr>
      <w:rFonts w:asciiTheme="majorHAnsi" w:eastAsiaTheme="majorEastAsia" w:hAnsiTheme="majorHAnsi" w:cstheme="majorBidi"/>
      <w:iCs/>
      <w:color w:val="ED7D31" w:themeColor="accent2"/>
      <w:sz w:val="22"/>
      <w:szCs w:val="22"/>
      <w:lang w:eastAsia="ja-JP"/>
    </w:rPr>
  </w:style>
  <w:style w:type="character" w:customStyle="1" w:styleId="Heading8Char">
    <w:name w:val="Heading 8 Char"/>
    <w:basedOn w:val="DefaultParagraphFont"/>
    <w:link w:val="Heading8"/>
    <w:uiPriority w:val="9"/>
    <w:semiHidden/>
    <w:rsid w:val="008F0F8D"/>
    <w:rPr>
      <w:rFonts w:asciiTheme="majorHAnsi" w:eastAsiaTheme="majorEastAsia" w:hAnsiTheme="majorHAnsi" w:cstheme="majorBidi"/>
      <w:i/>
      <w:color w:val="F19D64" w:themeColor="accent2" w:themeTint="BF"/>
      <w:sz w:val="22"/>
      <w:szCs w:val="21"/>
      <w:lang w:eastAsia="ja-JP"/>
    </w:rPr>
  </w:style>
  <w:style w:type="character" w:customStyle="1" w:styleId="Heading9Char">
    <w:name w:val="Heading 9 Char"/>
    <w:basedOn w:val="DefaultParagraphFont"/>
    <w:link w:val="Heading9"/>
    <w:uiPriority w:val="9"/>
    <w:semiHidden/>
    <w:rsid w:val="008F0F8D"/>
    <w:rPr>
      <w:rFonts w:asciiTheme="majorHAnsi" w:eastAsiaTheme="majorEastAsia" w:hAnsiTheme="majorHAnsi" w:cstheme="majorBidi"/>
      <w:iCs/>
      <w:color w:val="F19D64" w:themeColor="accent2" w:themeTint="BF"/>
      <w:sz w:val="22"/>
      <w:szCs w:val="21"/>
      <w:lang w:eastAsia="ja-JP"/>
    </w:rPr>
  </w:style>
  <w:style w:type="character" w:styleId="CommentReference">
    <w:name w:val="annotation reference"/>
    <w:basedOn w:val="DefaultParagraphFont"/>
    <w:uiPriority w:val="99"/>
    <w:semiHidden/>
    <w:unhideWhenUsed/>
    <w:rsid w:val="008F0F8D"/>
    <w:rPr>
      <w:sz w:val="16"/>
      <w:szCs w:val="16"/>
    </w:rPr>
  </w:style>
  <w:style w:type="paragraph" w:styleId="CommentText">
    <w:name w:val="annotation text"/>
    <w:basedOn w:val="Normal"/>
    <w:link w:val="CommentTextChar"/>
    <w:uiPriority w:val="99"/>
    <w:semiHidden/>
    <w:unhideWhenUsed/>
    <w:rsid w:val="008F0F8D"/>
    <w:pPr>
      <w:spacing w:after="120" w:line="240" w:lineRule="auto"/>
      <w:ind w:left="360"/>
    </w:pPr>
    <w:rPr>
      <w:rFonts w:asciiTheme="minorHAnsi" w:hAnsiTheme="minorHAnsi" w:cstheme="minorBidi"/>
      <w:color w:val="4472C4" w:themeColor="accent1"/>
      <w:sz w:val="20"/>
      <w:szCs w:val="20"/>
      <w:lang w:eastAsia="ja-JP"/>
    </w:rPr>
  </w:style>
  <w:style w:type="character" w:customStyle="1" w:styleId="CommentTextChar">
    <w:name w:val="Comment Text Char"/>
    <w:basedOn w:val="DefaultParagraphFont"/>
    <w:link w:val="CommentText"/>
    <w:uiPriority w:val="99"/>
    <w:semiHidden/>
    <w:rsid w:val="008F0F8D"/>
    <w:rPr>
      <w:rFonts w:asciiTheme="minorHAnsi" w:hAnsiTheme="minorHAnsi" w:cstheme="minorBidi"/>
      <w:color w:val="4472C4" w:themeColor="accent1"/>
      <w:sz w:val="20"/>
      <w:szCs w:val="20"/>
      <w:lang w:eastAsia="ja-JP"/>
    </w:rPr>
  </w:style>
  <w:style w:type="paragraph" w:styleId="NormalWeb">
    <w:name w:val="Normal (Web)"/>
    <w:basedOn w:val="Normal"/>
    <w:uiPriority w:val="99"/>
    <w:unhideWhenUsed/>
    <w:rsid w:val="001E2B3F"/>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1E2B3F"/>
    <w:rPr>
      <w:i/>
      <w:iCs/>
    </w:rPr>
  </w:style>
  <w:style w:type="character" w:styleId="Hyperlink">
    <w:name w:val="Hyperlink"/>
    <w:basedOn w:val="DefaultParagraphFont"/>
    <w:uiPriority w:val="99"/>
    <w:semiHidden/>
    <w:unhideWhenUsed/>
    <w:rsid w:val="001E2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51665">
      <w:bodyDiv w:val="1"/>
      <w:marLeft w:val="0"/>
      <w:marRight w:val="0"/>
      <w:marTop w:val="0"/>
      <w:marBottom w:val="0"/>
      <w:divBdr>
        <w:top w:val="none" w:sz="0" w:space="0" w:color="auto"/>
        <w:left w:val="none" w:sz="0" w:space="0" w:color="auto"/>
        <w:bottom w:val="none" w:sz="0" w:space="0" w:color="auto"/>
        <w:right w:val="none" w:sz="0" w:space="0" w:color="auto"/>
      </w:divBdr>
    </w:div>
    <w:div w:id="1220820816">
      <w:bodyDiv w:val="1"/>
      <w:marLeft w:val="0"/>
      <w:marRight w:val="0"/>
      <w:marTop w:val="0"/>
      <w:marBottom w:val="0"/>
      <w:divBdr>
        <w:top w:val="none" w:sz="0" w:space="0" w:color="auto"/>
        <w:left w:val="none" w:sz="0" w:space="0" w:color="auto"/>
        <w:bottom w:val="none" w:sz="0" w:space="0" w:color="auto"/>
        <w:right w:val="none" w:sz="0" w:space="0" w:color="auto"/>
      </w:divBdr>
    </w:div>
    <w:div w:id="1356343099">
      <w:bodyDiv w:val="1"/>
      <w:marLeft w:val="0"/>
      <w:marRight w:val="0"/>
      <w:marTop w:val="0"/>
      <w:marBottom w:val="0"/>
      <w:divBdr>
        <w:top w:val="none" w:sz="0" w:space="0" w:color="auto"/>
        <w:left w:val="none" w:sz="0" w:space="0" w:color="auto"/>
        <w:bottom w:val="none" w:sz="0" w:space="0" w:color="auto"/>
        <w:right w:val="none" w:sz="0" w:space="0" w:color="auto"/>
      </w:divBdr>
    </w:div>
    <w:div w:id="18466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2021-11-26T03:11:00Z</dcterms:created>
  <dcterms:modified xsi:type="dcterms:W3CDTF">2021-11-26T03:11:00Z</dcterms:modified>
</cp:coreProperties>
</file>