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9CA44" w14:textId="77777777" w:rsidR="00A40A5F" w:rsidRPr="007F54BD" w:rsidRDefault="00A40A5F" w:rsidP="00A40A5F">
      <w:pPr>
        <w:rPr>
          <w:rFonts w:ascii="Arial" w:hAnsi="Arial" w:cs="Arial"/>
          <w:sz w:val="28"/>
          <w:szCs w:val="28"/>
        </w:rPr>
      </w:pPr>
      <w:r w:rsidRPr="007F54BD">
        <w:rPr>
          <w:rFonts w:ascii="Arial" w:hAnsi="Arial" w:cs="Arial"/>
          <w:sz w:val="28"/>
          <w:szCs w:val="28"/>
        </w:rPr>
        <w:t>Glossary of terms</w:t>
      </w:r>
    </w:p>
    <w:p w14:paraId="3B11710A" w14:textId="77777777" w:rsidR="00A40A5F" w:rsidRPr="007F54BD" w:rsidRDefault="00A40A5F" w:rsidP="00A40A5F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7F54BD">
        <w:rPr>
          <w:rFonts w:ascii="Arial" w:hAnsi="Arial" w:cs="Arial"/>
          <w:sz w:val="28"/>
          <w:szCs w:val="28"/>
        </w:rPr>
        <w:t>Products Liability Glossary</w:t>
      </w:r>
    </w:p>
    <w:p w14:paraId="272A5A69" w14:textId="77777777" w:rsidR="00A40A5F" w:rsidRPr="007F54BD" w:rsidRDefault="00A40A5F" w:rsidP="00A40A5F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7F54BD">
        <w:rPr>
          <w:rFonts w:ascii="Arial" w:hAnsi="Arial" w:cs="Arial"/>
          <w:b/>
          <w:bCs/>
          <w:sz w:val="28"/>
          <w:szCs w:val="28"/>
        </w:rPr>
        <w:t>Assumption of Risk</w:t>
      </w:r>
      <w:r w:rsidRPr="007F54BD">
        <w:rPr>
          <w:rFonts w:ascii="Arial" w:hAnsi="Arial" w:cs="Arial"/>
          <w:sz w:val="28"/>
          <w:szCs w:val="28"/>
        </w:rPr>
        <w:t>: The rule that persons accept the risks inherent in situations they willingly enter, like the taking</w:t>
      </w:r>
    </w:p>
    <w:p w14:paraId="1EDB3674" w14:textId="77777777" w:rsidR="00A40A5F" w:rsidRPr="007F54BD" w:rsidRDefault="00A40A5F" w:rsidP="00A40A5F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7F54BD">
        <w:rPr>
          <w:rFonts w:ascii="Arial" w:hAnsi="Arial" w:cs="Arial"/>
          <w:sz w:val="28"/>
          <w:szCs w:val="28"/>
        </w:rPr>
        <w:t>of a dangerous job, and therefore cannot claim damages, if they are injured</w:t>
      </w:r>
    </w:p>
    <w:p w14:paraId="5AC4BE7B" w14:textId="77777777" w:rsidR="00A40A5F" w:rsidRPr="007F54BD" w:rsidRDefault="00A40A5F" w:rsidP="00A40A5F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7F54BD">
        <w:rPr>
          <w:rFonts w:ascii="Arial" w:hAnsi="Arial" w:cs="Arial"/>
          <w:b/>
          <w:bCs/>
          <w:sz w:val="28"/>
          <w:szCs w:val="28"/>
        </w:rPr>
        <w:t>Comparative Negligence</w:t>
      </w:r>
      <w:r w:rsidRPr="007F54BD">
        <w:rPr>
          <w:rFonts w:ascii="Arial" w:hAnsi="Arial" w:cs="Arial"/>
          <w:sz w:val="28"/>
          <w:szCs w:val="28"/>
        </w:rPr>
        <w:t>: The rule that the plaintiff's recovery will be reduced in proportion to the degree that his</w:t>
      </w:r>
    </w:p>
    <w:p w14:paraId="48CC5351" w14:textId="77777777" w:rsidR="00A40A5F" w:rsidRPr="007F54BD" w:rsidRDefault="00A40A5F" w:rsidP="00A40A5F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7F54BD">
        <w:rPr>
          <w:rFonts w:ascii="Arial" w:hAnsi="Arial" w:cs="Arial"/>
          <w:sz w:val="28"/>
          <w:szCs w:val="28"/>
        </w:rPr>
        <w:t>own negligence was responsible for that injury.</w:t>
      </w:r>
    </w:p>
    <w:p w14:paraId="61A53413" w14:textId="77777777" w:rsidR="00A40A5F" w:rsidRPr="007F54BD" w:rsidRDefault="00A40A5F" w:rsidP="00A40A5F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7F54BD">
        <w:rPr>
          <w:rFonts w:ascii="Arial" w:hAnsi="Arial" w:cs="Arial"/>
          <w:b/>
          <w:bCs/>
          <w:sz w:val="28"/>
          <w:szCs w:val="28"/>
        </w:rPr>
        <w:t xml:space="preserve">Contributory Negligence: </w:t>
      </w:r>
      <w:r w:rsidRPr="007F54BD">
        <w:rPr>
          <w:rFonts w:ascii="Arial" w:hAnsi="Arial" w:cs="Arial"/>
          <w:sz w:val="28"/>
          <w:szCs w:val="28"/>
        </w:rPr>
        <w:t>The rule that plaintiff may not recover damages if he or she is wholly or partially responsible</w:t>
      </w:r>
    </w:p>
    <w:p w14:paraId="19CB9B17" w14:textId="77777777" w:rsidR="00A40A5F" w:rsidRPr="007F54BD" w:rsidRDefault="00A40A5F" w:rsidP="00A40A5F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7F54BD">
        <w:rPr>
          <w:rFonts w:ascii="Arial" w:hAnsi="Arial" w:cs="Arial"/>
          <w:sz w:val="28"/>
          <w:szCs w:val="28"/>
        </w:rPr>
        <w:t>for the injury.</w:t>
      </w:r>
    </w:p>
    <w:p w14:paraId="33098132" w14:textId="77777777" w:rsidR="00A40A5F" w:rsidRPr="007F54BD" w:rsidRDefault="00A40A5F" w:rsidP="00A40A5F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7F54BD">
        <w:rPr>
          <w:rFonts w:ascii="Arial" w:hAnsi="Arial" w:cs="Arial"/>
          <w:b/>
          <w:bCs/>
          <w:sz w:val="28"/>
          <w:szCs w:val="28"/>
        </w:rPr>
        <w:t xml:space="preserve">Design Defect: </w:t>
      </w:r>
      <w:r w:rsidRPr="007F54BD">
        <w:rPr>
          <w:rFonts w:ascii="Arial" w:hAnsi="Arial" w:cs="Arial"/>
          <w:sz w:val="28"/>
          <w:szCs w:val="28"/>
        </w:rPr>
        <w:t>A defect in a product resulting from the fact that, although the product was manufactured as it was</w:t>
      </w:r>
    </w:p>
    <w:p w14:paraId="0EAE2BB7" w14:textId="77777777" w:rsidR="00A40A5F" w:rsidRPr="007F54BD" w:rsidRDefault="00A40A5F" w:rsidP="00A40A5F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7F54BD">
        <w:rPr>
          <w:rFonts w:ascii="Arial" w:hAnsi="Arial" w:cs="Arial"/>
          <w:sz w:val="28"/>
          <w:szCs w:val="28"/>
        </w:rPr>
        <w:t>designed, the design was not as safe as it could have been.,</w:t>
      </w:r>
    </w:p>
    <w:p w14:paraId="4ACFC912" w14:textId="77777777" w:rsidR="00A40A5F" w:rsidRPr="007F54BD" w:rsidRDefault="00A40A5F" w:rsidP="00A40A5F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7F54BD">
        <w:rPr>
          <w:rFonts w:ascii="Arial" w:hAnsi="Arial" w:cs="Arial"/>
          <w:b/>
          <w:bCs/>
          <w:sz w:val="28"/>
          <w:szCs w:val="28"/>
        </w:rPr>
        <w:t xml:space="preserve">Enterprise Liability: </w:t>
      </w:r>
      <w:r w:rsidRPr="007F54BD">
        <w:rPr>
          <w:rFonts w:ascii="Arial" w:hAnsi="Arial" w:cs="Arial"/>
          <w:sz w:val="28"/>
          <w:szCs w:val="28"/>
        </w:rPr>
        <w:t>Under this standard, liability rests upon each member of an industry that produced a product</w:t>
      </w:r>
      <w:r>
        <w:rPr>
          <w:rFonts w:ascii="Arial" w:hAnsi="Arial" w:cs="Arial"/>
          <w:sz w:val="28"/>
          <w:szCs w:val="28"/>
        </w:rPr>
        <w:t xml:space="preserve"> </w:t>
      </w:r>
      <w:r w:rsidRPr="007F54BD">
        <w:rPr>
          <w:rFonts w:ascii="Arial" w:hAnsi="Arial" w:cs="Arial"/>
          <w:sz w:val="28"/>
          <w:szCs w:val="28"/>
        </w:rPr>
        <w:t>that harmed consumers with liability apportioned according to each member's share of the market for that product.</w:t>
      </w:r>
    </w:p>
    <w:p w14:paraId="20619D38" w14:textId="77777777" w:rsidR="00A40A5F" w:rsidRPr="007F54BD" w:rsidRDefault="00A40A5F" w:rsidP="00A40A5F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7F54BD">
        <w:rPr>
          <w:rFonts w:ascii="Arial" w:hAnsi="Arial" w:cs="Arial"/>
          <w:b/>
          <w:bCs/>
          <w:sz w:val="28"/>
          <w:szCs w:val="28"/>
        </w:rPr>
        <w:t>Failure to warn</w:t>
      </w:r>
      <w:r w:rsidRPr="007F54BD">
        <w:rPr>
          <w:rFonts w:ascii="Arial" w:hAnsi="Arial" w:cs="Arial"/>
          <w:sz w:val="28"/>
          <w:szCs w:val="28"/>
        </w:rPr>
        <w:t>: the failure of a defendant in a products liability case to have provided adequate warning or instructions</w:t>
      </w:r>
      <w:r>
        <w:rPr>
          <w:rFonts w:ascii="Arial" w:hAnsi="Arial" w:cs="Arial"/>
          <w:sz w:val="28"/>
          <w:szCs w:val="28"/>
        </w:rPr>
        <w:t xml:space="preserve"> </w:t>
      </w:r>
      <w:r w:rsidRPr="007F54BD">
        <w:rPr>
          <w:rFonts w:ascii="Arial" w:hAnsi="Arial" w:cs="Arial"/>
          <w:sz w:val="28"/>
          <w:szCs w:val="28"/>
        </w:rPr>
        <w:t>regarding the use of its product.</w:t>
      </w:r>
    </w:p>
    <w:p w14:paraId="5BD9337A" w14:textId="77777777" w:rsidR="00A40A5F" w:rsidRPr="007F54BD" w:rsidRDefault="00A40A5F" w:rsidP="00A40A5F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7F54BD">
        <w:rPr>
          <w:rFonts w:ascii="Arial" w:hAnsi="Arial" w:cs="Arial"/>
          <w:b/>
          <w:bCs/>
          <w:sz w:val="28"/>
          <w:szCs w:val="28"/>
        </w:rPr>
        <w:t>Fellow Servant rule</w:t>
      </w:r>
      <w:r w:rsidRPr="007F54BD">
        <w:rPr>
          <w:rFonts w:ascii="Arial" w:hAnsi="Arial" w:cs="Arial"/>
          <w:sz w:val="28"/>
          <w:szCs w:val="28"/>
        </w:rPr>
        <w:t>: The rule that employers were not liable for worker's injuries brought about by the negligence of</w:t>
      </w:r>
      <w:r>
        <w:rPr>
          <w:rFonts w:ascii="Arial" w:hAnsi="Arial" w:cs="Arial"/>
          <w:sz w:val="28"/>
          <w:szCs w:val="28"/>
        </w:rPr>
        <w:t xml:space="preserve"> </w:t>
      </w:r>
      <w:r w:rsidRPr="007F54BD">
        <w:rPr>
          <w:rFonts w:ascii="Arial" w:hAnsi="Arial" w:cs="Arial"/>
          <w:sz w:val="28"/>
          <w:szCs w:val="28"/>
        </w:rPr>
        <w:t>a fellow worker; they were liable only when they were personally at fault.</w:t>
      </w:r>
    </w:p>
    <w:p w14:paraId="3698A9C2" w14:textId="77777777" w:rsidR="00A40A5F" w:rsidRPr="007F54BD" w:rsidRDefault="00A40A5F" w:rsidP="00A40A5F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7F54BD">
        <w:rPr>
          <w:rFonts w:ascii="Arial" w:hAnsi="Arial" w:cs="Arial"/>
          <w:b/>
          <w:bCs/>
          <w:sz w:val="28"/>
          <w:szCs w:val="28"/>
        </w:rPr>
        <w:t>Manufacturing Defect</w:t>
      </w:r>
      <w:r w:rsidRPr="007F54BD">
        <w:rPr>
          <w:rFonts w:ascii="Arial" w:hAnsi="Arial" w:cs="Arial"/>
          <w:sz w:val="28"/>
          <w:szCs w:val="28"/>
        </w:rPr>
        <w:t xml:space="preserve">: A defect resulting </w:t>
      </w:r>
      <w:proofErr w:type="spellStart"/>
      <w:r w:rsidRPr="007F54BD">
        <w:rPr>
          <w:rFonts w:ascii="Arial" w:hAnsi="Arial" w:cs="Arial"/>
          <w:sz w:val="28"/>
          <w:szCs w:val="28"/>
        </w:rPr>
        <w:t>form</w:t>
      </w:r>
      <w:proofErr w:type="spellEnd"/>
      <w:r w:rsidRPr="007F54BD">
        <w:rPr>
          <w:rFonts w:ascii="Arial" w:hAnsi="Arial" w:cs="Arial"/>
          <w:sz w:val="28"/>
          <w:szCs w:val="28"/>
        </w:rPr>
        <w:t xml:space="preserve"> a product's not having been manufactured as it had been designed.</w:t>
      </w:r>
    </w:p>
    <w:p w14:paraId="19B55A89" w14:textId="77777777" w:rsidR="00A40A5F" w:rsidRPr="007F54BD" w:rsidRDefault="00A40A5F" w:rsidP="00A40A5F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7F54BD">
        <w:rPr>
          <w:rFonts w:ascii="Arial" w:hAnsi="Arial" w:cs="Arial"/>
          <w:b/>
          <w:bCs/>
          <w:sz w:val="28"/>
          <w:szCs w:val="28"/>
        </w:rPr>
        <w:t xml:space="preserve">Negligence: </w:t>
      </w:r>
      <w:r w:rsidRPr="007F54BD">
        <w:rPr>
          <w:rFonts w:ascii="Arial" w:hAnsi="Arial" w:cs="Arial"/>
          <w:sz w:val="28"/>
          <w:szCs w:val="28"/>
        </w:rPr>
        <w:t>Breach of a duty by a defendant to exercise due care.</w:t>
      </w:r>
    </w:p>
    <w:p w14:paraId="5D5EF230" w14:textId="77777777" w:rsidR="00A40A5F" w:rsidRPr="007F54BD" w:rsidRDefault="00A40A5F" w:rsidP="00A40A5F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7F54BD">
        <w:rPr>
          <w:rFonts w:ascii="Arial" w:hAnsi="Arial" w:cs="Arial"/>
          <w:b/>
          <w:bCs/>
          <w:sz w:val="28"/>
          <w:szCs w:val="28"/>
        </w:rPr>
        <w:t xml:space="preserve">Privity of Contract: </w:t>
      </w:r>
      <w:r w:rsidRPr="007F54BD">
        <w:rPr>
          <w:rFonts w:ascii="Arial" w:hAnsi="Arial" w:cs="Arial"/>
          <w:sz w:val="28"/>
          <w:szCs w:val="28"/>
        </w:rPr>
        <w:t>The contractual relationship between buyer and seller, which provided a basis for liability for defective</w:t>
      </w:r>
      <w:r>
        <w:rPr>
          <w:rFonts w:ascii="Arial" w:hAnsi="Arial" w:cs="Arial"/>
          <w:sz w:val="28"/>
          <w:szCs w:val="28"/>
        </w:rPr>
        <w:t xml:space="preserve"> </w:t>
      </w:r>
      <w:r w:rsidRPr="007F54BD">
        <w:rPr>
          <w:rFonts w:ascii="Arial" w:hAnsi="Arial" w:cs="Arial"/>
          <w:sz w:val="28"/>
          <w:szCs w:val="28"/>
        </w:rPr>
        <w:t>products. Traditionally, however, consumers under this doctrine could not sue manufacturers for defective</w:t>
      </w:r>
      <w:r>
        <w:rPr>
          <w:rFonts w:ascii="Arial" w:hAnsi="Arial" w:cs="Arial"/>
          <w:sz w:val="28"/>
          <w:szCs w:val="28"/>
        </w:rPr>
        <w:t xml:space="preserve"> </w:t>
      </w:r>
      <w:r w:rsidRPr="007F54BD">
        <w:rPr>
          <w:rFonts w:ascii="Arial" w:hAnsi="Arial" w:cs="Arial"/>
          <w:sz w:val="28"/>
          <w:szCs w:val="28"/>
        </w:rPr>
        <w:t>goods unless they had bought the goods directly from the manufacturer.</w:t>
      </w:r>
    </w:p>
    <w:p w14:paraId="1E7E1307" w14:textId="77777777" w:rsidR="00A40A5F" w:rsidRPr="007F54BD" w:rsidRDefault="00A40A5F" w:rsidP="00A40A5F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7F54BD">
        <w:rPr>
          <w:rFonts w:ascii="Arial" w:hAnsi="Arial" w:cs="Arial"/>
          <w:b/>
          <w:bCs/>
          <w:sz w:val="28"/>
          <w:szCs w:val="28"/>
        </w:rPr>
        <w:t>Punitive damages</w:t>
      </w:r>
      <w:r w:rsidRPr="007F54BD">
        <w:rPr>
          <w:rFonts w:ascii="Arial" w:hAnsi="Arial" w:cs="Arial"/>
          <w:sz w:val="28"/>
          <w:szCs w:val="28"/>
        </w:rPr>
        <w:t xml:space="preserve">: In cases in which it is proved that the defendant acted willfully, malicious, or fraudulently, a </w:t>
      </w:r>
      <w:proofErr w:type="gramStart"/>
      <w:r w:rsidRPr="007F54BD">
        <w:rPr>
          <w:rFonts w:ascii="Arial" w:hAnsi="Arial" w:cs="Arial"/>
          <w:sz w:val="28"/>
          <w:szCs w:val="28"/>
        </w:rPr>
        <w:t>plaintiff</w:t>
      </w:r>
      <w:r>
        <w:rPr>
          <w:rFonts w:ascii="Arial" w:hAnsi="Arial" w:cs="Arial"/>
          <w:sz w:val="28"/>
          <w:szCs w:val="28"/>
        </w:rPr>
        <w:t xml:space="preserve">  </w:t>
      </w:r>
      <w:r w:rsidRPr="007F54BD">
        <w:rPr>
          <w:rFonts w:ascii="Arial" w:hAnsi="Arial" w:cs="Arial"/>
          <w:sz w:val="28"/>
          <w:szCs w:val="28"/>
        </w:rPr>
        <w:t>may</w:t>
      </w:r>
      <w:proofErr w:type="gramEnd"/>
      <w:r w:rsidRPr="007F54BD">
        <w:rPr>
          <w:rFonts w:ascii="Arial" w:hAnsi="Arial" w:cs="Arial"/>
          <w:sz w:val="28"/>
          <w:szCs w:val="28"/>
        </w:rPr>
        <w:t xml:space="preserve"> be awarded punitive or exemplary damages in addition to compensatory damages to punish the defendant or</w:t>
      </w:r>
      <w:r>
        <w:rPr>
          <w:rFonts w:ascii="Arial" w:hAnsi="Arial" w:cs="Arial"/>
          <w:sz w:val="28"/>
          <w:szCs w:val="28"/>
        </w:rPr>
        <w:t xml:space="preserve">  </w:t>
      </w:r>
      <w:r w:rsidRPr="007F54BD">
        <w:rPr>
          <w:rFonts w:ascii="Arial" w:hAnsi="Arial" w:cs="Arial"/>
          <w:sz w:val="28"/>
          <w:szCs w:val="28"/>
        </w:rPr>
        <w:t>set an example for similar wrong doers.</w:t>
      </w:r>
    </w:p>
    <w:p w14:paraId="65ACA31F" w14:textId="77777777" w:rsidR="00A40A5F" w:rsidRPr="007F54BD" w:rsidRDefault="00A40A5F" w:rsidP="00A40A5F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7F54BD">
        <w:rPr>
          <w:rFonts w:ascii="Arial" w:hAnsi="Arial" w:cs="Arial"/>
          <w:b/>
          <w:bCs/>
          <w:sz w:val="28"/>
          <w:szCs w:val="28"/>
        </w:rPr>
        <w:t xml:space="preserve">Res </w:t>
      </w:r>
      <w:proofErr w:type="spellStart"/>
      <w:r w:rsidRPr="007F54BD">
        <w:rPr>
          <w:rFonts w:ascii="Arial" w:hAnsi="Arial" w:cs="Arial"/>
          <w:b/>
          <w:bCs/>
          <w:sz w:val="28"/>
          <w:szCs w:val="28"/>
        </w:rPr>
        <w:t>Ipsa</w:t>
      </w:r>
      <w:proofErr w:type="spellEnd"/>
      <w:r w:rsidRPr="007F54BD">
        <w:rPr>
          <w:rFonts w:ascii="Arial" w:hAnsi="Arial" w:cs="Arial"/>
          <w:b/>
          <w:bCs/>
          <w:sz w:val="28"/>
          <w:szCs w:val="28"/>
        </w:rPr>
        <w:t xml:space="preserve"> Loquitur: </w:t>
      </w:r>
      <w:r w:rsidRPr="007F54BD">
        <w:rPr>
          <w:rFonts w:ascii="Arial" w:hAnsi="Arial" w:cs="Arial"/>
          <w:sz w:val="28"/>
          <w:szCs w:val="28"/>
        </w:rPr>
        <w:t xml:space="preserve">Doctrine that switches burden of proof from plaintiff proving defendant acted negligently to </w:t>
      </w:r>
      <w:proofErr w:type="gramStart"/>
      <w:r w:rsidRPr="007F54BD">
        <w:rPr>
          <w:rFonts w:ascii="Arial" w:hAnsi="Arial" w:cs="Arial"/>
          <w:sz w:val="28"/>
          <w:szCs w:val="28"/>
        </w:rPr>
        <w:t>defendant</w:t>
      </w:r>
      <w:r>
        <w:rPr>
          <w:rFonts w:ascii="Arial" w:hAnsi="Arial" w:cs="Arial"/>
          <w:sz w:val="28"/>
          <w:szCs w:val="28"/>
        </w:rPr>
        <w:t xml:space="preserve">  </w:t>
      </w:r>
      <w:r w:rsidRPr="007F54BD">
        <w:rPr>
          <w:rFonts w:ascii="Arial" w:hAnsi="Arial" w:cs="Arial"/>
          <w:sz w:val="28"/>
          <w:szCs w:val="28"/>
        </w:rPr>
        <w:t>having</w:t>
      </w:r>
      <w:proofErr w:type="gramEnd"/>
      <w:r w:rsidRPr="007F54BD">
        <w:rPr>
          <w:rFonts w:ascii="Arial" w:hAnsi="Arial" w:cs="Arial"/>
          <w:sz w:val="28"/>
          <w:szCs w:val="28"/>
        </w:rPr>
        <w:t xml:space="preserve"> to prove that he did not cause the accident. The doctrine does not apply unless (1) </w:t>
      </w:r>
      <w:r w:rsidRPr="007F54BD">
        <w:rPr>
          <w:rFonts w:ascii="Arial" w:hAnsi="Arial" w:cs="Arial"/>
          <w:sz w:val="28"/>
          <w:szCs w:val="28"/>
        </w:rPr>
        <w:lastRenderedPageBreak/>
        <w:t xml:space="preserve">defendant </w:t>
      </w:r>
      <w:proofErr w:type="gramStart"/>
      <w:r w:rsidRPr="007F54BD">
        <w:rPr>
          <w:rFonts w:ascii="Arial" w:hAnsi="Arial" w:cs="Arial"/>
          <w:sz w:val="28"/>
          <w:szCs w:val="28"/>
        </w:rPr>
        <w:t>had</w:t>
      </w:r>
      <w:r>
        <w:rPr>
          <w:rFonts w:ascii="Arial" w:hAnsi="Arial" w:cs="Arial"/>
          <w:sz w:val="28"/>
          <w:szCs w:val="28"/>
        </w:rPr>
        <w:t xml:space="preserve">  </w:t>
      </w:r>
      <w:r w:rsidRPr="007F54BD">
        <w:rPr>
          <w:rFonts w:ascii="Arial" w:hAnsi="Arial" w:cs="Arial"/>
          <w:sz w:val="28"/>
          <w:szCs w:val="28"/>
        </w:rPr>
        <w:t>exclusive</w:t>
      </w:r>
      <w:proofErr w:type="gramEnd"/>
      <w:r w:rsidRPr="007F54BD">
        <w:rPr>
          <w:rFonts w:ascii="Arial" w:hAnsi="Arial" w:cs="Arial"/>
          <w:sz w:val="28"/>
          <w:szCs w:val="28"/>
        </w:rPr>
        <w:t xml:space="preserve"> control of the thing causing the injury and (2) the accident is of such a nature that it ordinarily would not</w:t>
      </w:r>
      <w:r>
        <w:rPr>
          <w:rFonts w:ascii="Arial" w:hAnsi="Arial" w:cs="Arial"/>
          <w:sz w:val="28"/>
          <w:szCs w:val="28"/>
        </w:rPr>
        <w:t xml:space="preserve">  </w:t>
      </w:r>
      <w:r w:rsidRPr="007F54BD">
        <w:rPr>
          <w:rFonts w:ascii="Arial" w:hAnsi="Arial" w:cs="Arial"/>
          <w:sz w:val="28"/>
          <w:szCs w:val="28"/>
        </w:rPr>
        <w:t>occur in the absence of negligence by the defendant.</w:t>
      </w:r>
    </w:p>
    <w:p w14:paraId="2AFAC337" w14:textId="77777777" w:rsidR="00A40A5F" w:rsidRPr="007F54BD" w:rsidRDefault="00A40A5F" w:rsidP="00A40A5F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7F54BD">
        <w:rPr>
          <w:rFonts w:ascii="Arial" w:hAnsi="Arial" w:cs="Arial"/>
          <w:b/>
          <w:bCs/>
          <w:sz w:val="28"/>
          <w:szCs w:val="28"/>
        </w:rPr>
        <w:t xml:space="preserve">State-Of-The-Art Defense: </w:t>
      </w:r>
      <w:r w:rsidRPr="007F54BD">
        <w:rPr>
          <w:rFonts w:ascii="Arial" w:hAnsi="Arial" w:cs="Arial"/>
          <w:sz w:val="28"/>
          <w:szCs w:val="28"/>
        </w:rPr>
        <w:t>That defense that permits a defendant to avoid liability in a design defect case if at the</w:t>
      </w:r>
      <w:r>
        <w:rPr>
          <w:rFonts w:ascii="Arial" w:hAnsi="Arial" w:cs="Arial"/>
          <w:sz w:val="28"/>
          <w:szCs w:val="28"/>
        </w:rPr>
        <w:t xml:space="preserve"> </w:t>
      </w:r>
      <w:r w:rsidRPr="007F54BD">
        <w:rPr>
          <w:rFonts w:ascii="Arial" w:hAnsi="Arial" w:cs="Arial"/>
          <w:sz w:val="28"/>
          <w:szCs w:val="28"/>
        </w:rPr>
        <w:t xml:space="preserve">time of manufacture there was no safer design available, or in a failure to warn case if at the time of manufacture </w:t>
      </w:r>
      <w:proofErr w:type="gramStart"/>
      <w:r w:rsidRPr="007F54BD">
        <w:rPr>
          <w:rFonts w:ascii="Arial" w:hAnsi="Arial" w:cs="Arial"/>
          <w:sz w:val="28"/>
          <w:szCs w:val="28"/>
        </w:rPr>
        <w:t>there</w:t>
      </w:r>
      <w:r>
        <w:rPr>
          <w:rFonts w:ascii="Arial" w:hAnsi="Arial" w:cs="Arial"/>
          <w:sz w:val="28"/>
          <w:szCs w:val="28"/>
        </w:rPr>
        <w:t xml:space="preserve">  </w:t>
      </w:r>
      <w:r w:rsidRPr="007F54BD">
        <w:rPr>
          <w:rFonts w:ascii="Arial" w:hAnsi="Arial" w:cs="Arial"/>
          <w:sz w:val="28"/>
          <w:szCs w:val="28"/>
        </w:rPr>
        <w:t>was</w:t>
      </w:r>
      <w:proofErr w:type="gramEnd"/>
      <w:r w:rsidRPr="007F54BD">
        <w:rPr>
          <w:rFonts w:ascii="Arial" w:hAnsi="Arial" w:cs="Arial"/>
          <w:sz w:val="28"/>
          <w:szCs w:val="28"/>
        </w:rPr>
        <w:t xml:space="preserve"> no way for the defendant to have known of the danger he failed to warn against..</w:t>
      </w:r>
    </w:p>
    <w:p w14:paraId="711FDE7C" w14:textId="77777777" w:rsidR="00A40A5F" w:rsidRDefault="00A40A5F" w:rsidP="00A40A5F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7F54BD">
        <w:rPr>
          <w:rFonts w:ascii="Arial" w:hAnsi="Arial" w:cs="Arial"/>
          <w:b/>
          <w:bCs/>
          <w:sz w:val="28"/>
          <w:szCs w:val="28"/>
        </w:rPr>
        <w:t xml:space="preserve">Strict Liability: </w:t>
      </w:r>
      <w:r w:rsidRPr="007F54BD">
        <w:rPr>
          <w:rFonts w:ascii="Arial" w:hAnsi="Arial" w:cs="Arial"/>
          <w:sz w:val="28"/>
          <w:szCs w:val="28"/>
        </w:rPr>
        <w:t xml:space="preserve">Under this standard, one who sells a product in a defective condition unreasonably dangerous to </w:t>
      </w:r>
      <w:proofErr w:type="gramStart"/>
      <w:r w:rsidRPr="007F54BD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 </w:t>
      </w:r>
      <w:r w:rsidRPr="007F54BD">
        <w:rPr>
          <w:rFonts w:ascii="Arial" w:hAnsi="Arial" w:cs="Arial"/>
          <w:sz w:val="28"/>
          <w:szCs w:val="28"/>
        </w:rPr>
        <w:t>consumer</w:t>
      </w:r>
      <w:proofErr w:type="gramEnd"/>
      <w:r w:rsidRPr="007F54BD">
        <w:rPr>
          <w:rFonts w:ascii="Arial" w:hAnsi="Arial" w:cs="Arial"/>
          <w:sz w:val="28"/>
          <w:szCs w:val="28"/>
        </w:rPr>
        <w:t xml:space="preserve"> is held liable for harm caused by the defect.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6EA71C27" w14:textId="77777777" w:rsidR="00A40A5F" w:rsidRPr="007F54BD" w:rsidRDefault="00A40A5F" w:rsidP="00A40A5F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7F54BD">
        <w:rPr>
          <w:rFonts w:ascii="Arial" w:hAnsi="Arial" w:cs="Arial"/>
          <w:b/>
          <w:bCs/>
          <w:sz w:val="28"/>
          <w:szCs w:val="28"/>
        </w:rPr>
        <w:t xml:space="preserve">Tort: </w:t>
      </w:r>
      <w:r w:rsidRPr="007F54BD">
        <w:rPr>
          <w:rFonts w:ascii="Arial" w:hAnsi="Arial" w:cs="Arial"/>
          <w:sz w:val="28"/>
          <w:szCs w:val="28"/>
        </w:rPr>
        <w:t xml:space="preserve">Any civil wrong, other </w:t>
      </w:r>
      <w:proofErr w:type="spellStart"/>
      <w:r w:rsidRPr="007F54BD">
        <w:rPr>
          <w:rFonts w:ascii="Arial" w:hAnsi="Arial" w:cs="Arial"/>
          <w:sz w:val="28"/>
          <w:szCs w:val="28"/>
        </w:rPr>
        <w:t>then</w:t>
      </w:r>
      <w:proofErr w:type="spellEnd"/>
      <w:r w:rsidRPr="007F54BD">
        <w:rPr>
          <w:rFonts w:ascii="Arial" w:hAnsi="Arial" w:cs="Arial"/>
          <w:sz w:val="28"/>
          <w:szCs w:val="28"/>
        </w:rPr>
        <w:t xml:space="preserve"> a breach of contract, that results in personal injury, death or property damage, and</w:t>
      </w:r>
    </w:p>
    <w:p w14:paraId="1BEFED98" w14:textId="77777777" w:rsidR="00A40A5F" w:rsidRPr="007F54BD" w:rsidRDefault="00A40A5F" w:rsidP="00A40A5F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7F54BD">
        <w:rPr>
          <w:rFonts w:ascii="Arial" w:hAnsi="Arial" w:cs="Arial"/>
          <w:sz w:val="28"/>
          <w:szCs w:val="28"/>
        </w:rPr>
        <w:t>for which a person can sue to recover damages.</w:t>
      </w:r>
    </w:p>
    <w:p w14:paraId="1CF4534A" w14:textId="77777777" w:rsidR="008138AF" w:rsidRDefault="008138AF">
      <w:bookmarkStart w:id="0" w:name="_GoBack"/>
      <w:bookmarkEnd w:id="0"/>
    </w:p>
    <w:sectPr w:rsidR="00813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5F"/>
    <w:rsid w:val="008138AF"/>
    <w:rsid w:val="00A4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51FE1"/>
  <w15:chartTrackingRefBased/>
  <w15:docId w15:val="{CC330F00-05F0-4A63-9FEB-5EE27985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A5F"/>
    <w:pPr>
      <w:spacing w:after="20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1</cp:revision>
  <dcterms:created xsi:type="dcterms:W3CDTF">2018-02-07T04:26:00Z</dcterms:created>
  <dcterms:modified xsi:type="dcterms:W3CDTF">2018-02-07T04:27:00Z</dcterms:modified>
</cp:coreProperties>
</file>