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E984" w14:textId="77777777" w:rsidR="00BB5A3B" w:rsidRDefault="004D461B">
      <w:pPr>
        <w:rPr>
          <w:sz w:val="24"/>
        </w:rPr>
      </w:pPr>
      <w:r>
        <w:t>MR. JUSTICE BRENNAN delivered the opinion of the Court.</w:t>
      </w:r>
    </w:p>
    <w:p w14:paraId="7625EEB9" w14:textId="77777777" w:rsidR="00BB5A3B" w:rsidRDefault="004D461B">
      <w:pPr>
        <w:rPr>
          <w:sz w:val="24"/>
        </w:rPr>
      </w:pPr>
      <w:r>
        <w:tab/>
      </w:r>
      <w:r>
        <w:t xml:space="preserve">Constitutional questions decided by this Court concerning the juvenile process have centered on the adjudicatory stage, at which a determination is made as to [397 U.S. 359] whether a juvenile is a "delinquent" </w:t>
      </w:r>
      <w:proofErr w:type="gramStart"/>
      <w:r>
        <w:t>as a result of</w:t>
      </w:r>
      <w:proofErr w:type="gramEnd"/>
      <w:r>
        <w:t xml:space="preserve"> alleged misconduct on his part</w:t>
      </w:r>
      <w:r>
        <w:t xml:space="preserve">, with the consequence that he may be committed to a state institution. GO&gt;In re Gault, 387 U.S. 1, GO&gt;13 (1967).  Gault decided that, although the Fourteenth Amendment does not require that the hearing at this stage conform with all the requirements of a </w:t>
      </w:r>
      <w:r>
        <w:t>criminal trial, or even of the usual administrative proceeding, the Due Process Clause does require application during the adjudicatory hearing of "`the essentials of due process and fair treatment.'"  Id. at GO&gt;30.  This case presents the single, narrow q</w:t>
      </w:r>
      <w:r>
        <w:t xml:space="preserve">uestion whether proof beyond a reasonable doubt is among the "essentials of due process and fair treatment" required during the adjudicatory stage when a juvenile is charged with an act which would constitute a crime if committed by an </w:t>
      </w:r>
      <w:proofErr w:type="gramStart"/>
      <w:r>
        <w:t>adult.{</w:t>
      </w:r>
      <w:proofErr w:type="gramEnd"/>
      <w:r>
        <w:t>GO&gt;1}</w:t>
      </w:r>
    </w:p>
    <w:p w14:paraId="56EAAE35" w14:textId="77777777" w:rsidR="00BB5A3B" w:rsidRDefault="004D461B">
      <w:pPr>
        <w:rPr>
          <w:sz w:val="24"/>
        </w:rPr>
      </w:pPr>
      <w:r>
        <w:tab/>
        <w:t>Secti</w:t>
      </w:r>
      <w:r>
        <w:t>on 712 of the New York Family Court Act defines a juvenile delinquent as "a person over seven and less than sixteen years of age who does any act which, if done by an adult, would constitute a crime."  During a 1967 adjudicatory hearing, conducted pursuant</w:t>
      </w:r>
      <w:r>
        <w:t xml:space="preserve"> to § 742 of the Act, a judge in New York Family Court [397 U.S. 360] found that appellant, then a 12-year-old boy, had entered a locker and stolen $112 from a woman's pocketbook.  The petition which charged appellant with delinquency alleged that his act,</w:t>
      </w:r>
      <w:r>
        <w:t xml:space="preserve"> "if done by an adult, would constitute the crime or crimes of Larceny."  The judge acknowledged that the proof might not establish guilt beyond a reasonable </w:t>
      </w:r>
      <w:proofErr w:type="gramStart"/>
      <w:r>
        <w:t>doubt, but</w:t>
      </w:r>
      <w:proofErr w:type="gramEnd"/>
      <w:r>
        <w:t xml:space="preserve"> rejected appellant's contention that such proof was required by the Fourteenth Amendmen</w:t>
      </w:r>
      <w:r>
        <w:t>t.  The judge relied instead on § 744(b) of the New York Family Court Act, which provides that [a]</w:t>
      </w:r>
      <w:proofErr w:type="spellStart"/>
      <w:r>
        <w:t>ny</w:t>
      </w:r>
      <w:proofErr w:type="spellEnd"/>
      <w:r>
        <w:t xml:space="preserve"> determination at the conclusion of [an adjudicatory] hearing that a [juvenile] did an act or acts must be based on a preponderance of the evidence.{GO&gt;2} D</w:t>
      </w:r>
      <w:r>
        <w:t>uring a subsequent dispositional hearing, appellant was ordered placed in a training school for an initial period of 18 months, subject to annual extensions of his commitment until his 18th birthday -- six years, in appellant's case.  The Appellate Divisio</w:t>
      </w:r>
      <w:r>
        <w:t xml:space="preserve">n of the New York Supreme Court, First Judicial Department, affirmed without opinion, 30 </w:t>
      </w:r>
      <w:proofErr w:type="spellStart"/>
      <w:r>
        <w:t>App.Div.2d</w:t>
      </w:r>
      <w:proofErr w:type="spellEnd"/>
      <w:r>
        <w:t xml:space="preserve"> 781, 291 </w:t>
      </w:r>
      <w:proofErr w:type="spellStart"/>
      <w:r>
        <w:t>N.Y.S.2d</w:t>
      </w:r>
      <w:proofErr w:type="spellEnd"/>
      <w:r>
        <w:t xml:space="preserve"> 1005 (1968).  The New York Court of Appeals then affirmed by a four-to-three vote, expressly sustaining the constitutionality of § 744(b),</w:t>
      </w:r>
      <w:r>
        <w:t xml:space="preserve"> 24 </w:t>
      </w:r>
      <w:proofErr w:type="spellStart"/>
      <w:r>
        <w:t>N.Y.2d</w:t>
      </w:r>
      <w:proofErr w:type="spellEnd"/>
      <w:r>
        <w:t xml:space="preserve"> 196, 247 </w:t>
      </w:r>
      <w:proofErr w:type="spellStart"/>
      <w:r>
        <w:t>N.E.2d</w:t>
      </w:r>
      <w:proofErr w:type="spellEnd"/>
      <w:r>
        <w:t xml:space="preserve"> 253 (1969</w:t>
      </w:r>
      <w:proofErr w:type="gramStart"/>
      <w:r>
        <w:t>).{</w:t>
      </w:r>
      <w:proofErr w:type="gramEnd"/>
      <w:r>
        <w:t>GO&gt;3}  [397 U.S. 361] We noted probable jurisdiction, 396 U.S. 885 (1969).  We reverse.</w:t>
      </w:r>
    </w:p>
    <w:p w14:paraId="5E75397A" w14:textId="77777777" w:rsidR="00BB5A3B" w:rsidRDefault="004D461B">
      <w:pPr>
        <w:rPr>
          <w:sz w:val="24"/>
        </w:rPr>
      </w:pPr>
      <w:r>
        <w:t>I</w:t>
      </w:r>
    </w:p>
    <w:p w14:paraId="5575390D" w14:textId="77777777" w:rsidR="00BB5A3B" w:rsidRDefault="004D461B">
      <w:pPr>
        <w:rPr>
          <w:sz w:val="24"/>
        </w:rPr>
      </w:pPr>
      <w:r>
        <w:tab/>
        <w:t xml:space="preserve">The requirement that </w:t>
      </w:r>
      <w:proofErr w:type="gramStart"/>
      <w:r>
        <w:t>guilt</w:t>
      </w:r>
      <w:proofErr w:type="gramEnd"/>
      <w:r>
        <w:t xml:space="preserve"> of a criminal charge be established by proof beyond a reasonable doubt dates at least from our ea</w:t>
      </w:r>
      <w:r>
        <w:t>rly years as a Nation.  The demand for a higher degree of persuasion in criminal cases was recurrently expressed from ancient times, [though] its crystallization into the formula "beyond a reasonable doubt" seems to have occurred as late as 1798.  It is no</w:t>
      </w:r>
      <w:r>
        <w:t xml:space="preserve">w accepted in common law jurisdictions as the measure of persuasion by which the prosecution must convince the trier of all the essential elements of </w:t>
      </w:r>
      <w:proofErr w:type="spellStart"/>
      <w:r>
        <w:t>guilt.C</w:t>
      </w:r>
      <w:proofErr w:type="spellEnd"/>
      <w:r>
        <w:t xml:space="preserve">. McCormick, Evidence § 321, pp. 681-682 (1954); see also J. </w:t>
      </w:r>
      <w:proofErr w:type="spellStart"/>
      <w:r>
        <w:t>Wigmore</w:t>
      </w:r>
      <w:proofErr w:type="spellEnd"/>
      <w:r>
        <w:t>, Evidence § 2497 (</w:t>
      </w:r>
      <w:proofErr w:type="spellStart"/>
      <w:r>
        <w:t>3d</w:t>
      </w:r>
      <w:proofErr w:type="spellEnd"/>
      <w:r>
        <w:t xml:space="preserve"> </w:t>
      </w:r>
      <w:proofErr w:type="spellStart"/>
      <w:r>
        <w:t>ed.1940</w:t>
      </w:r>
      <w:proofErr w:type="spellEnd"/>
      <w:r>
        <w:t>).</w:t>
      </w:r>
      <w:r>
        <w:t xml:space="preserve">  Although virtually unanimous adherence to the reasonable doubt standard in common law jurisdictions may not conclusively establish it as a requirement of due process, such adherence does "reflect a profound judgment about the [397 U.S. 362] way in which </w:t>
      </w:r>
      <w:r>
        <w:t>law should be enforced and justice administered."  GO&gt;Duncan v. Louisiana, 391 U.S. 145, GO&gt;155 (1968).</w:t>
      </w:r>
    </w:p>
    <w:p w14:paraId="4D2B6002" w14:textId="77777777" w:rsidR="00BB5A3B" w:rsidRDefault="004D461B">
      <w:pPr>
        <w:rPr>
          <w:sz w:val="24"/>
        </w:rPr>
      </w:pPr>
      <w:r>
        <w:tab/>
        <w:t>Expressions in many opinions of this Court indicate that it has long been assumed that proof of a criminal charge beyond a reasonable doubt is constit</w:t>
      </w:r>
      <w:r>
        <w:t xml:space="preserve">utionally required.  See, for example, GO&gt;Miles v. United States, 103 U.S. 304, GO&gt;312 (1881); GO&gt;Davis v. United States, 160 U.S. 469, GO&gt;488 (1895); GO&gt;Holt v. United States, 218 U.S. 245, GO&gt;253 (1910); GO&gt;Wilson v. United States, 232 U.S. 563, </w:t>
      </w:r>
      <w:r>
        <w:lastRenderedPageBreak/>
        <w:t>GO&gt;569-5</w:t>
      </w:r>
      <w:r>
        <w:t>70 (1914); GO&gt;</w:t>
      </w:r>
      <w:proofErr w:type="spellStart"/>
      <w:r>
        <w:t>Brinegar</w:t>
      </w:r>
      <w:proofErr w:type="spellEnd"/>
      <w:r>
        <w:t xml:space="preserve"> v. United States, 338 U.S. 160, GO&gt;174 (1949); GO&gt;Leland v. Oregon, 343 U.S. 790, GO&gt;795 (1952); GO&gt;Holland v. United States, 348 U.S. 121, GO&gt;138 (1954); GO&gt;</w:t>
      </w:r>
      <w:proofErr w:type="spellStart"/>
      <w:r>
        <w:t>Speiser</w:t>
      </w:r>
      <w:proofErr w:type="spellEnd"/>
      <w:r>
        <w:t xml:space="preserve"> v. Randall, 357 U.S. 513, GO&gt;525-526 (1958).  Cf. GO&gt;Coffin v. Unit</w:t>
      </w:r>
      <w:r>
        <w:t>ed States, 156 U.S. 432 (1895).  Mr. Justice Frankfurter stated that [</w:t>
      </w:r>
      <w:proofErr w:type="spellStart"/>
      <w:r>
        <w:t>i</w:t>
      </w:r>
      <w:proofErr w:type="spellEnd"/>
      <w:r>
        <w:t>]t is the duty of the Government to establish . . . guilt beyond a reasonable doubt.  This notion -- basic in our law and rightly one of the boasts of a free society -- is a requirement</w:t>
      </w:r>
      <w:r>
        <w:t xml:space="preserve"> and a safeguard of due process of law in the historic, procedural content of "due </w:t>
      </w:r>
      <w:proofErr w:type="spellStart"/>
      <w:r>
        <w:t>process."Leland</w:t>
      </w:r>
      <w:proofErr w:type="spellEnd"/>
      <w:r>
        <w:t xml:space="preserve"> v. Oregon, supra, at GO&gt;802-803 (dissenting opinion).  In a similar vein, the Court said in </w:t>
      </w:r>
      <w:proofErr w:type="spellStart"/>
      <w:r>
        <w:t>Brinegar</w:t>
      </w:r>
      <w:proofErr w:type="spellEnd"/>
      <w:r>
        <w:t xml:space="preserve"> v. United States, supra, at GO&gt;174, that[g]</w:t>
      </w:r>
      <w:proofErr w:type="spellStart"/>
      <w:r>
        <w:t>uilt</w:t>
      </w:r>
      <w:proofErr w:type="spellEnd"/>
      <w:r>
        <w:t xml:space="preserve"> in a cri</w:t>
      </w:r>
      <w:r>
        <w:t xml:space="preserve">minal case must be proved beyond a reasonable doubt and by evidence confined to that which long experience in the common law tradition, to some extent embodied in the Constitution, has crystalized into </w:t>
      </w:r>
      <w:proofErr w:type="spellStart"/>
      <w:r>
        <w:t>rulesof</w:t>
      </w:r>
      <w:proofErr w:type="spellEnd"/>
      <w:r>
        <w:t xml:space="preserve"> evidence consistent with that standard.  These</w:t>
      </w:r>
      <w:r>
        <w:t xml:space="preserve"> rules are historically grounded rights of our system, developed to safeguard men from dubious and unjust convictions, with resulting forfeitures of life, liberty and </w:t>
      </w:r>
      <w:proofErr w:type="spellStart"/>
      <w:proofErr w:type="gramStart"/>
      <w:r>
        <w:t>property.Davis</w:t>
      </w:r>
      <w:proofErr w:type="spellEnd"/>
      <w:proofErr w:type="gramEnd"/>
      <w:r>
        <w:t xml:space="preserve"> v. United States, supra, at GO&gt;488, stated that the requirement is implici</w:t>
      </w:r>
      <w:r>
        <w:t>t in "constitutions . . . [which] recognize the fundamental principles that are deemed essential for the protection of life and liberty."  In Davis, a murder conviction was [397 U.S. 363] reversed because the trial judge instructed the jury that it was the</w:t>
      </w:r>
      <w:r>
        <w:t xml:space="preserve">ir duty to convict when the evidence was equally balanced regarding the sanity of the accused.  This Court </w:t>
      </w:r>
      <w:proofErr w:type="gramStart"/>
      <w:r>
        <w:t>said  On</w:t>
      </w:r>
      <w:proofErr w:type="gramEnd"/>
      <w:r>
        <w:t xml:space="preserve"> the contrary, he is entitled to an acquittal of the specific crime charged if, upon all the evidence, there is reasonable doubt whether he w</w:t>
      </w:r>
      <w:r>
        <w:t xml:space="preserve">as capable in law of committing crime. . . .  No man should be deprived of his life under the forms of law unless the jurors who try him are able, upon their consciences, to say that the evidence before them . . . is sufficient to show beyond a reasonable </w:t>
      </w:r>
      <w:r>
        <w:t xml:space="preserve">doubt the existence of every fact necessary to constitute the crime </w:t>
      </w:r>
      <w:proofErr w:type="spellStart"/>
      <w:r>
        <w:t>charged.Id</w:t>
      </w:r>
      <w:proofErr w:type="spellEnd"/>
      <w:r>
        <w:t>. at GO&gt;484, GO&gt;493.</w:t>
      </w:r>
    </w:p>
    <w:p w14:paraId="22757814" w14:textId="77777777" w:rsidR="00BB5A3B" w:rsidRDefault="004D461B">
      <w:pPr>
        <w:rPr>
          <w:sz w:val="24"/>
        </w:rPr>
      </w:pPr>
      <w:r>
        <w:tab/>
        <w:t>The reasonable doubt standard plays a vital role in the American scheme of criminal procedure.  It is a prime instrument for reducing the risk of convictio</w:t>
      </w:r>
      <w:r>
        <w:t>ns resting on factual error.  The standard provides concrete substance for the presumption of innocence -- that bedrock "axiomatic and elementary" principle whose "enforcement lies at the foundation of the administration of our criminal law."  Coffin v. Un</w:t>
      </w:r>
      <w:r>
        <w:t>ited States, supra, at GO&gt;453.  As the dissenters in the New York Court of Appeals observed, and we agree, a person accused of a crime . . . would be at a severe disadvantage, a disadvantage amounting to a lack of fundamental fairness, if he could be adjud</w:t>
      </w:r>
      <w:r>
        <w:t xml:space="preserve">ged guilty and imprisoned for years on the strength of the same evidence as would suffice in a civil case. 24 </w:t>
      </w:r>
      <w:proofErr w:type="spellStart"/>
      <w:r>
        <w:t>N.E.2d</w:t>
      </w:r>
      <w:proofErr w:type="spellEnd"/>
      <w:r>
        <w:t xml:space="preserve"> at 205, 247 </w:t>
      </w:r>
      <w:proofErr w:type="spellStart"/>
      <w:r>
        <w:t>N.E.2d</w:t>
      </w:r>
      <w:proofErr w:type="spellEnd"/>
      <w:r>
        <w:t xml:space="preserve"> at 259.</w:t>
      </w:r>
    </w:p>
    <w:p w14:paraId="171BAA2B" w14:textId="77777777" w:rsidR="00BB5A3B" w:rsidRDefault="004D461B">
      <w:pPr>
        <w:rPr>
          <w:sz w:val="24"/>
        </w:rPr>
      </w:pPr>
      <w:r>
        <w:tab/>
        <w:t>The requirement of proof beyond a reasonable doubt has this vital role in our criminal procedure for cogent re</w:t>
      </w:r>
      <w:r>
        <w:t>asons.  The accused, during a criminal prosecution, has at stake interests of immense importance, both because of the possibility that he may lose his liberty upon conviction and because of the certainty that he would be stigmatized by the conviction.  Acc</w:t>
      </w:r>
      <w:r>
        <w:t xml:space="preserve">ordingly, a society [397 U.S. 364] that values the good name and freedom of every individual should not condemn a man for commission of a crime when there is reasonable doubt about his guilt.  As we said in </w:t>
      </w:r>
      <w:proofErr w:type="spellStart"/>
      <w:r>
        <w:t>Speiser</w:t>
      </w:r>
      <w:proofErr w:type="spellEnd"/>
      <w:r>
        <w:t xml:space="preserve"> v. Randall, supra, at GO&gt;</w:t>
      </w:r>
      <w:proofErr w:type="spellStart"/>
      <w:r>
        <w:t>525-</w:t>
      </w:r>
      <w:proofErr w:type="gramStart"/>
      <w:r>
        <w:t>526:There</w:t>
      </w:r>
      <w:proofErr w:type="spellEnd"/>
      <w:proofErr w:type="gramEnd"/>
      <w:r>
        <w:t xml:space="preserve"> is</w:t>
      </w:r>
      <w:r>
        <w:t xml:space="preserve"> always, in litigation, a margin of error, representing error in factfinding, which both parties must take into account.  Where one party has at stake an interest of transcending value -- as a criminal defendant his liberty -- this margin of error is reduc</w:t>
      </w:r>
      <w:r>
        <w:t>ed as to him by the process of placing on the other party the burden of . . . persuading the factfinder at the conclusion of the trial of his guilt beyond a reasonable doubt.  Due process commands that no man shall lose his liberty unless the Government ha</w:t>
      </w:r>
      <w:r>
        <w:t xml:space="preserve">s borne the burden of . . . convincing the factfinder of his </w:t>
      </w:r>
      <w:proofErr w:type="spellStart"/>
      <w:proofErr w:type="gramStart"/>
      <w:r>
        <w:t>guilt.To</w:t>
      </w:r>
      <w:proofErr w:type="spellEnd"/>
      <w:proofErr w:type="gramEnd"/>
      <w:r>
        <w:t xml:space="preserve"> this end, the reasonable doubt standard is indispensable, for it "impresses on the trier of fact the necessity of reaching a subjective state of certitude of the facts in issue."  </w:t>
      </w:r>
      <w:proofErr w:type="spellStart"/>
      <w:r>
        <w:t>Dorsen</w:t>
      </w:r>
      <w:proofErr w:type="spellEnd"/>
      <w:r>
        <w:t xml:space="preserve"> &amp; </w:t>
      </w:r>
      <w:proofErr w:type="spellStart"/>
      <w:r>
        <w:t>Rezneck</w:t>
      </w:r>
      <w:proofErr w:type="spellEnd"/>
      <w:r>
        <w:t>, In Re Gault and the Future of Juvenile Law, 1 Family Law Quarterly, No. 4, pp. 1, 26 (1967).</w:t>
      </w:r>
    </w:p>
    <w:p w14:paraId="1B5BF2DD" w14:textId="77777777" w:rsidR="00BB5A3B" w:rsidRDefault="00BB5A3B">
      <w:pPr>
        <w:rPr>
          <w:sz w:val="24"/>
        </w:rPr>
      </w:pPr>
    </w:p>
    <w:p w14:paraId="3180C773" w14:textId="77777777" w:rsidR="00BB5A3B" w:rsidRDefault="004D461B">
      <w:pPr>
        <w:rPr>
          <w:sz w:val="24"/>
        </w:rPr>
      </w:pPr>
      <w:r>
        <w:tab/>
        <w:t>Moreover, use of the reasonable doubt standard is indispensable to command the respect and confidence of the community in applications of the crimina</w:t>
      </w:r>
      <w:r>
        <w:t>l law.  It is critical that the moral force of the criminal law not be diluted by a standard of proof that leaves people in doubt whether innocent men are being condemned.  It is also important in our free society that every individual going about his ordi</w:t>
      </w:r>
      <w:r>
        <w:t>nary affairs have confidence that his government cannot adjudge him guilty of a criminal offense without convincing a proper factfinder of his guilt with utmost certainty.</w:t>
      </w:r>
    </w:p>
    <w:p w14:paraId="56EC76EC" w14:textId="77777777" w:rsidR="00BB5A3B" w:rsidRDefault="004D461B">
      <w:pPr>
        <w:rPr>
          <w:sz w:val="24"/>
        </w:rPr>
      </w:pPr>
      <w:r>
        <w:tab/>
        <w:t xml:space="preserve">Lest there </w:t>
      </w:r>
      <w:proofErr w:type="gramStart"/>
      <w:r>
        <w:t>remain</w:t>
      </w:r>
      <w:proofErr w:type="gramEnd"/>
      <w:r>
        <w:t xml:space="preserve"> any doubt about the constitutional stature of the reasonable dou</w:t>
      </w:r>
      <w:r>
        <w:t>bt standard, we explicitly hold that the Due Process Clause protects the accused against conviction except upon proof beyond a reasonable doubt of every fact necessary to constitute the crime with which he is charged. [397 U.S. 365]</w:t>
      </w:r>
    </w:p>
    <w:p w14:paraId="01DC4B77" w14:textId="77777777" w:rsidR="00BB5A3B" w:rsidRDefault="004D461B">
      <w:pPr>
        <w:rPr>
          <w:sz w:val="24"/>
        </w:rPr>
      </w:pPr>
      <w:r>
        <w:t>II</w:t>
      </w:r>
    </w:p>
    <w:p w14:paraId="0AE7E664" w14:textId="77777777" w:rsidR="00BB5A3B" w:rsidRDefault="004D461B">
      <w:pPr>
        <w:rPr>
          <w:sz w:val="24"/>
        </w:rPr>
      </w:pPr>
      <w:r>
        <w:tab/>
        <w:t>We turn to the qu</w:t>
      </w:r>
      <w:r>
        <w:t>estion whether juveniles, like adults, are constitutionally entitled to proof beyond a reasonable doubt when they are charged with violation of a criminal law.  The same considerations that demand extreme caution in factfinding to protect the innocent adul</w:t>
      </w:r>
      <w:r>
        <w:t>t apply as well to the innocent child.  We do not find convincing the contrary arguments of the New York Court of Appeals.  Gault rendered untenable much of the reasoning relied upon by that court to sustain the constitutionality of § 744(b).  The Court of</w:t>
      </w:r>
      <w:r>
        <w:t xml:space="preserve"> Appeals indicated that a delinquency </w:t>
      </w:r>
      <w:proofErr w:type="gramStart"/>
      <w:r>
        <w:t>adjudication  is</w:t>
      </w:r>
      <w:proofErr w:type="gramEnd"/>
      <w:r>
        <w:t xml:space="preserve"> not a "conviction" (§ 781); that it affects no right or privilege, including the right to hold public office or to obtain a license (§ 782), and a cloak of protective confidentiality is thrown around a</w:t>
      </w:r>
      <w:r>
        <w:t xml:space="preserve">ll the proceedings (§§ 783-784).24 </w:t>
      </w:r>
      <w:proofErr w:type="spellStart"/>
      <w:r>
        <w:t>N.Y.2d</w:t>
      </w:r>
      <w:proofErr w:type="spellEnd"/>
      <w:r>
        <w:t xml:space="preserve"> at 200, 247 </w:t>
      </w:r>
      <w:proofErr w:type="spellStart"/>
      <w:r>
        <w:t>N.E.2d</w:t>
      </w:r>
      <w:proofErr w:type="spellEnd"/>
      <w:r>
        <w:t xml:space="preserve"> at 255-256.  The court said </w:t>
      </w:r>
      <w:proofErr w:type="spellStart"/>
      <w:proofErr w:type="gramStart"/>
      <w:r>
        <w:t>further:The</w:t>
      </w:r>
      <w:proofErr w:type="spellEnd"/>
      <w:proofErr w:type="gramEnd"/>
      <w:r>
        <w:t xml:space="preserve"> delinquency status is not made a crime, and the proceedings are not criminal.  There is, hence, no deprivation of due process in the statutory provision [c</w:t>
      </w:r>
      <w:r>
        <w:t xml:space="preserve">hallenged by </w:t>
      </w:r>
      <w:proofErr w:type="gramStart"/>
      <w:r>
        <w:t>appellant]. . .</w:t>
      </w:r>
      <w:proofErr w:type="gramEnd"/>
      <w:r>
        <w:t xml:space="preserve"> .24 </w:t>
      </w:r>
      <w:proofErr w:type="spellStart"/>
      <w:r>
        <w:t>N.Y.2d</w:t>
      </w:r>
      <w:proofErr w:type="spellEnd"/>
      <w:r>
        <w:t xml:space="preserve"> at 203, 247 </w:t>
      </w:r>
      <w:proofErr w:type="spellStart"/>
      <w:r>
        <w:t>N.E.2d</w:t>
      </w:r>
      <w:proofErr w:type="spellEnd"/>
      <w:r>
        <w:t xml:space="preserve"> at 257.  In effect the Court of Appeals distinguished the proceedings in question here from a criminal prosecution by use of what Gault called the "`civil' label of convenience which has been attac</w:t>
      </w:r>
      <w:r>
        <w:t>hed to juvenile proceedings."  387 U.S. at GO&gt;50.  But Gault expressly rejected that distinction as a reason for holding the Due Process Clause inapplicable to a juvenile proceeding.  387 U.S. at GO&gt;50-51.  The Court of Appeals also attempted to justify th</w:t>
      </w:r>
      <w:r>
        <w:t xml:space="preserve">e preponderance standard on the related ground that juvenile proceedings are designed "not to punish, but to save the child."  24 </w:t>
      </w:r>
      <w:proofErr w:type="spellStart"/>
      <w:r>
        <w:t>N.Y.2d</w:t>
      </w:r>
      <w:proofErr w:type="spellEnd"/>
      <w:r>
        <w:t xml:space="preserve"> at 17, 247 </w:t>
      </w:r>
      <w:proofErr w:type="spellStart"/>
      <w:r>
        <w:t>N.E.2d</w:t>
      </w:r>
      <w:proofErr w:type="spellEnd"/>
      <w:r>
        <w:t xml:space="preserve"> at 254.  Again, however, Gault expressly rejected this justification.  387 U.S. at GO&gt;27.  We made cl</w:t>
      </w:r>
      <w:r>
        <w:t>ear in that decision that civil labels and good [397 U.S. 366] intentions do not themselves obviate the need for criminal due process safeguards in juvenile courts, for[a] proceeding where the issue is whether the child will be found to be "delinquent" and</w:t>
      </w:r>
      <w:r>
        <w:t xml:space="preserve"> subjected to the loss of his liberty for years is comparable in seriousness to a felony </w:t>
      </w:r>
      <w:proofErr w:type="spellStart"/>
      <w:r>
        <w:t>prosecution.Id</w:t>
      </w:r>
      <w:proofErr w:type="spellEnd"/>
      <w:r>
        <w:t>. at GO&gt;36.</w:t>
      </w:r>
    </w:p>
    <w:p w14:paraId="6E46E2D1" w14:textId="77777777" w:rsidR="00BB5A3B" w:rsidRDefault="004D461B">
      <w:pPr>
        <w:rPr>
          <w:sz w:val="24"/>
        </w:rPr>
      </w:pPr>
      <w:r>
        <w:tab/>
        <w:t>Nor do we perceive any merit in the argument that to afford juveniles the protection of proof beyond a reasonable doubt would risk destruct</w:t>
      </w:r>
      <w:r>
        <w:t>ion of beneficial aspects of the juvenile process.{GO&gt;4}  Use of the reasonable doubt standard during the adjudicatory hearing will not disturb New York's policies that a finding that a child has violated a criminal law does not constitute a criminal convi</w:t>
      </w:r>
      <w:r>
        <w:t>ction, that such a finding does not deprive the child of his civil rights, and that juvenile proceedings are confidential.  Nor will there be any effect on the informality, flexibility, or speed of the hearing at which the factfinding takes place.  And the</w:t>
      </w:r>
      <w:r>
        <w:t xml:space="preserve"> opportunity during the post-adjudicatory or dispositional hearing for a wide-ranging review of the child's social history and for his individualized treatment will remain unimpaired.  Similarly, there will be no effect on the procedures [397 U.S. 367] dis</w:t>
      </w:r>
      <w:r>
        <w:t>tinctive to juvenile proceedings that are employed prior to the adjudicatory hearing.</w:t>
      </w:r>
    </w:p>
    <w:p w14:paraId="154691D8" w14:textId="77777777" w:rsidR="00BB5A3B" w:rsidRDefault="004D461B">
      <w:pPr>
        <w:rPr>
          <w:sz w:val="24"/>
        </w:rPr>
      </w:pPr>
      <w:r>
        <w:lastRenderedPageBreak/>
        <w:tab/>
        <w:t xml:space="preserve">The Court of Appeals observed that a child's best interest is not necessarily, or even probably, promoted if he wins in the </w:t>
      </w:r>
      <w:proofErr w:type="gramStart"/>
      <w:r>
        <w:t>particular inquiry</w:t>
      </w:r>
      <w:proofErr w:type="gramEnd"/>
      <w:r>
        <w:t xml:space="preserve"> which may bring him to th</w:t>
      </w:r>
      <w:r>
        <w:t xml:space="preserve">e juvenile court. 24 </w:t>
      </w:r>
      <w:proofErr w:type="spellStart"/>
      <w:r>
        <w:t>N.Y.2d</w:t>
      </w:r>
      <w:proofErr w:type="spellEnd"/>
      <w:r>
        <w:t xml:space="preserve"> at 199, 247 </w:t>
      </w:r>
      <w:proofErr w:type="spellStart"/>
      <w:r>
        <w:t>N.E.2d</w:t>
      </w:r>
      <w:proofErr w:type="spellEnd"/>
      <w:r>
        <w:t xml:space="preserve"> at 255.  It is true, of course, that the juvenile may be engaging in a general course of conduct inimical to his welfare that calls for judicial intervention.  But that intervention cannot take the form of sub</w:t>
      </w:r>
      <w:r>
        <w:t xml:space="preserve">jecting the child to the stigma of a finding that he violated a criminal </w:t>
      </w:r>
      <w:proofErr w:type="gramStart"/>
      <w:r>
        <w:t>law{</w:t>
      </w:r>
      <w:proofErr w:type="gramEnd"/>
      <w:r>
        <w:t xml:space="preserve">GO&gt;5} and to the possibility of institutional confinement on proof insufficient to convict him </w:t>
      </w:r>
      <w:proofErr w:type="spellStart"/>
      <w:r>
        <w:t>were</w:t>
      </w:r>
      <w:proofErr w:type="spellEnd"/>
      <w:r>
        <w:t xml:space="preserve"> he an adult.</w:t>
      </w:r>
    </w:p>
    <w:p w14:paraId="28BEADC0" w14:textId="77777777" w:rsidR="00BB5A3B" w:rsidRDefault="004D461B">
      <w:pPr>
        <w:rPr>
          <w:sz w:val="24"/>
        </w:rPr>
      </w:pPr>
      <w:r>
        <w:tab/>
        <w:t>We conclude, as we concluded regarding the essential due process</w:t>
      </w:r>
      <w:r>
        <w:t xml:space="preserve"> safeguards applied in Gault, that the observance of the standard of proof beyond a reasonable doubt "will not compel the States to abandon or displace any of the substantive benefits of the juvenile process."  Gault, supra, at GO&gt;21.</w:t>
      </w:r>
    </w:p>
    <w:p w14:paraId="7A628C05" w14:textId="77777777" w:rsidR="00BB5A3B" w:rsidRDefault="004D461B">
      <w:pPr>
        <w:rPr>
          <w:sz w:val="24"/>
        </w:rPr>
      </w:pPr>
      <w:r>
        <w:tab/>
      </w:r>
      <w:r>
        <w:t>Finally, we reject the Court of Appeals' suggestion that there is, in any event, only a "tenuous difference" between the reasonable doubt and preponderance standards.  The suggestion is singularly unpersuasive.  In this very case, the trial judge's ability</w:t>
      </w:r>
      <w:r>
        <w:t xml:space="preserve"> to distinguish between the two standards enabled him to make a finding of guilt that he conceded he might not have made under the standard of proof beyond a reasonable doubt.  Indeed, the trial judge's action evidences the accuracy of the observation of c</w:t>
      </w:r>
      <w:r>
        <w:t>ommentators that the preponderance test is susceptible to the misinterpretation [397 U.S. 368] that it calls on the trier of fact merely to perform an abstract weighing of the evidence in order to determine which side has produced the greater quantum, with</w:t>
      </w:r>
      <w:r>
        <w:t xml:space="preserve">out regard to its effect in convincing his mind of the truth of the proposition </w:t>
      </w:r>
      <w:proofErr w:type="spellStart"/>
      <w:r>
        <w:t>asserted.Dorsen</w:t>
      </w:r>
      <w:proofErr w:type="spellEnd"/>
      <w:r>
        <w:t xml:space="preserve"> &amp; </w:t>
      </w:r>
      <w:proofErr w:type="spellStart"/>
      <w:r>
        <w:t>Rezneck</w:t>
      </w:r>
      <w:proofErr w:type="spellEnd"/>
      <w:r>
        <w:t>, supra, at 26-27.{GO&gt;6}</w:t>
      </w:r>
    </w:p>
    <w:p w14:paraId="45316A2F" w14:textId="77777777" w:rsidR="00BB5A3B" w:rsidRDefault="004D461B">
      <w:pPr>
        <w:rPr>
          <w:sz w:val="24"/>
        </w:rPr>
      </w:pPr>
      <w:r>
        <w:t>III</w:t>
      </w:r>
    </w:p>
    <w:p w14:paraId="48FF9FD0" w14:textId="77777777" w:rsidR="00BB5A3B" w:rsidRDefault="004D461B">
      <w:pPr>
        <w:rPr>
          <w:sz w:val="24"/>
        </w:rPr>
      </w:pPr>
      <w:r>
        <w:tab/>
        <w:t>In sum, the constitutional safeguard of proof beyond a reasonable doubt is as much required during the adjudicatory sta</w:t>
      </w:r>
      <w:r>
        <w:t xml:space="preserve">ge of a delinquency proceeding as are those constitutional safeguards applied in Gault -- notice of charges, right to counsel, the rights of confrontation and examination, and the privilege against self-incrimination.  We therefore hold, in agreement with </w:t>
      </w:r>
      <w:r>
        <w:t xml:space="preserve">Chief Judge Fuld in dissent in the Court of </w:t>
      </w:r>
      <w:proofErr w:type="spellStart"/>
      <w:proofErr w:type="gramStart"/>
      <w:r>
        <w:t>Appeals,that</w:t>
      </w:r>
      <w:proofErr w:type="spellEnd"/>
      <w:proofErr w:type="gramEnd"/>
      <w:r>
        <w:t>, where a 12-year-old child is charged with an act of stealing which renders him liable to confinement for as long as six years, then, as a matter of due process . . . the case against him must be pro</w:t>
      </w:r>
      <w:r>
        <w:t xml:space="preserve">ved beyond a reasonable </w:t>
      </w:r>
      <w:proofErr w:type="spellStart"/>
      <w:r>
        <w:t>doubt.24</w:t>
      </w:r>
      <w:proofErr w:type="spellEnd"/>
      <w:r>
        <w:t xml:space="preserve"> </w:t>
      </w:r>
      <w:proofErr w:type="spellStart"/>
      <w:r>
        <w:t>N.Y.2d</w:t>
      </w:r>
      <w:proofErr w:type="spellEnd"/>
      <w:r>
        <w:t xml:space="preserve"> at 207, 247 </w:t>
      </w:r>
      <w:proofErr w:type="spellStart"/>
      <w:r>
        <w:t>N.E.2d</w:t>
      </w:r>
      <w:proofErr w:type="spellEnd"/>
      <w:r>
        <w:t xml:space="preserve"> at 260.</w:t>
      </w:r>
    </w:p>
    <w:p w14:paraId="2A626673" w14:textId="77777777" w:rsidR="00BB5A3B" w:rsidRDefault="004D461B">
      <w:pPr>
        <w:rPr>
          <w:sz w:val="24"/>
        </w:rPr>
      </w:pPr>
      <w:r>
        <w:tab/>
        <w:t>Reversed.</w:t>
      </w:r>
    </w:p>
    <w:p w14:paraId="0C9C6307" w14:textId="77777777" w:rsidR="00BB5A3B" w:rsidRDefault="004D461B">
      <w:pPr>
        <w:rPr>
          <w:sz w:val="24"/>
        </w:rPr>
      </w:pPr>
      <w:r>
        <w:tab/>
        <w:t>MR. JUSTICE HARLAN, concurring.</w:t>
      </w:r>
    </w:p>
    <w:p w14:paraId="35A8E73E" w14:textId="77777777" w:rsidR="00BB5A3B" w:rsidRDefault="004D461B">
      <w:pPr>
        <w:rPr>
          <w:sz w:val="24"/>
        </w:rPr>
      </w:pPr>
      <w:r>
        <w:tab/>
        <w:t>No one, I daresay, would contend that state juvenile court trials are subject to no federal constitutional limitations</w:t>
      </w:r>
      <w:r>
        <w:t>.  Differences have existed, however, among the members of this Court as to what constitutional protections do apply.  See GO&gt;In re Gault, 387 U.S. 1 (1967). [397 U.S. 369]</w:t>
      </w:r>
    </w:p>
    <w:p w14:paraId="68F0F118" w14:textId="77777777" w:rsidR="00BB5A3B" w:rsidRDefault="004D461B">
      <w:pPr>
        <w:rPr>
          <w:sz w:val="24"/>
        </w:rPr>
      </w:pPr>
      <w:r>
        <w:t xml:space="preserve"> </w:t>
      </w:r>
      <w:r>
        <w:tab/>
        <w:t>The present case draws in question the validity of a New York statute that permi</w:t>
      </w:r>
      <w:r>
        <w:t>ts a determination of juvenile delinquency, founded on a charge of criminal conduct, to be made on a standard of proof that is less rigorous than that which would obtain had the accused been tried for the same conduct in an ordinary criminal case.  While I</w:t>
      </w:r>
      <w:r>
        <w:t xml:space="preserve"> am in full agreement that this statutory provision offends the requirement of fundamental fairness embodied in the Due Process Clause of the Fourteenth Amendment, I am constrained to add something to what my </w:t>
      </w:r>
      <w:proofErr w:type="gramStart"/>
      <w:r>
        <w:t>Brother</w:t>
      </w:r>
      <w:proofErr w:type="gramEnd"/>
      <w:r>
        <w:t xml:space="preserve"> BRENNAN has written for the Court, lest</w:t>
      </w:r>
      <w:r>
        <w:t xml:space="preserve"> the true nature of the constitutional problem presented become obscured or the impact on state juvenile court systems of what the Court holds today be exaggerated.</w:t>
      </w:r>
    </w:p>
    <w:p w14:paraId="784155AF" w14:textId="77777777" w:rsidR="00BB5A3B" w:rsidRDefault="004D461B">
      <w:pPr>
        <w:rPr>
          <w:sz w:val="24"/>
        </w:rPr>
      </w:pPr>
      <w:r>
        <w:t>I</w:t>
      </w:r>
    </w:p>
    <w:p w14:paraId="5E5D057C" w14:textId="77777777" w:rsidR="00BB5A3B" w:rsidRDefault="004D461B">
      <w:pPr>
        <w:rPr>
          <w:sz w:val="24"/>
        </w:rPr>
      </w:pPr>
      <w:r>
        <w:lastRenderedPageBreak/>
        <w:tab/>
        <w:t xml:space="preserve">Professor </w:t>
      </w:r>
      <w:proofErr w:type="spellStart"/>
      <w:r>
        <w:t>Wigmore</w:t>
      </w:r>
      <w:proofErr w:type="spellEnd"/>
      <w:r>
        <w:t>, in discussing the various attempts by courts to define how convince</w:t>
      </w:r>
      <w:r>
        <w:t>d one must be to be convinced beyond a reasonable doubt, wryly observed: The truth is that no one has yet invented or discovered a mode of measurement for the intensity of human belief.  Hence, there can be yet no successful method of communicating intelli</w:t>
      </w:r>
      <w:r>
        <w:t xml:space="preserve">gibly . . . a sound method of self-analysis for one's belief, 9 J. </w:t>
      </w:r>
      <w:proofErr w:type="spellStart"/>
      <w:r>
        <w:t>Wigmore</w:t>
      </w:r>
      <w:proofErr w:type="spellEnd"/>
      <w:r>
        <w:t>, Evidence 325 (</w:t>
      </w:r>
      <w:proofErr w:type="spellStart"/>
      <w:r>
        <w:t>3d</w:t>
      </w:r>
      <w:proofErr w:type="spellEnd"/>
      <w:r>
        <w:t xml:space="preserve"> </w:t>
      </w:r>
      <w:proofErr w:type="spellStart"/>
      <w:r>
        <w:t>ed.1940</w:t>
      </w:r>
      <w:proofErr w:type="spellEnd"/>
      <w:proofErr w:type="gramStart"/>
      <w:r>
        <w:t>).{</w:t>
      </w:r>
      <w:proofErr w:type="gramEnd"/>
      <w:r>
        <w:t>GO&gt;1}</w:t>
      </w:r>
    </w:p>
    <w:p w14:paraId="21149D34" w14:textId="77777777" w:rsidR="00BB5A3B" w:rsidRDefault="004D461B">
      <w:pPr>
        <w:rPr>
          <w:sz w:val="24"/>
        </w:rPr>
      </w:pPr>
      <w:r>
        <w:tab/>
        <w:t xml:space="preserve">Notwithstanding Professor </w:t>
      </w:r>
      <w:proofErr w:type="spellStart"/>
      <w:r>
        <w:t>Wigmore's</w:t>
      </w:r>
      <w:proofErr w:type="spellEnd"/>
      <w:r>
        <w:t xml:space="preserve"> skepticism, we have before us a case where the choice of the standard of proof has made a difference:  the ju</w:t>
      </w:r>
      <w:r>
        <w:t>venile court judge below forthrightly acknowledged that he believed by a preponderance of the evidence, but was not convinced beyond a reasonable doubt, that appellant stole $112 from the complainant's pocketbook.  Moreover, even though the labels used for</w:t>
      </w:r>
      <w:r>
        <w:t xml:space="preserve"> alternative standards of proof are [397 U.S. 370] vague, and not a very sure guide to </w:t>
      </w:r>
      <w:proofErr w:type="spellStart"/>
      <w:r>
        <w:t>decisionmaking</w:t>
      </w:r>
      <w:proofErr w:type="spellEnd"/>
      <w:r>
        <w:t xml:space="preserve">, the choice of the standard for a particular variety of adjudication does, I think, reflect a very fundamental assessment of the comparative social costs </w:t>
      </w:r>
      <w:r>
        <w:t xml:space="preserve">of erroneous factual </w:t>
      </w:r>
      <w:proofErr w:type="gramStart"/>
      <w:r>
        <w:t>determinations.{</w:t>
      </w:r>
      <w:proofErr w:type="gramEnd"/>
      <w:r>
        <w:t>GO&gt;2}</w:t>
      </w:r>
    </w:p>
    <w:p w14:paraId="54DC7ED5" w14:textId="77777777" w:rsidR="00BB5A3B" w:rsidRDefault="004D461B">
      <w:pPr>
        <w:rPr>
          <w:sz w:val="24"/>
        </w:rPr>
      </w:pPr>
      <w:r>
        <w:tab/>
        <w:t xml:space="preserve">To explain why I think this so, I begin by stating two propositions, neither of which I believe can be </w:t>
      </w:r>
      <w:proofErr w:type="gramStart"/>
      <w:r>
        <w:t>fairly disputed</w:t>
      </w:r>
      <w:proofErr w:type="gramEnd"/>
      <w:r>
        <w:t>.  First, in a judicial proceeding in which there is a dispute about the facts of some earlie</w:t>
      </w:r>
      <w:r>
        <w:t xml:space="preserve">r event, the factfinder cannot acquire unassailably accurate knowledge of what happened.  Instead, all the </w:t>
      </w:r>
      <w:proofErr w:type="gramStart"/>
      <w:r>
        <w:t>factfinder</w:t>
      </w:r>
      <w:proofErr w:type="gramEnd"/>
      <w:r>
        <w:t xml:space="preserve"> can acquire is a belief of what probably happened.  The intensity of this belief -- the degree to which a factfinder is convinced that a g</w:t>
      </w:r>
      <w:r>
        <w:t xml:space="preserve">iven act </w:t>
      </w:r>
      <w:proofErr w:type="gramStart"/>
      <w:r>
        <w:t>actually occurred</w:t>
      </w:r>
      <w:proofErr w:type="gramEnd"/>
      <w:r>
        <w:t xml:space="preserve"> -- can, of course, vary.  In this regard, a standard of proof represents an attempt to instruct the factfinder concerning the degree of confidence our society thinks he should have in the correctness of factual conclusions for a </w:t>
      </w:r>
      <w:r>
        <w:t>particular type of adjudication.  Although the phrases "preponderance of the evidence" and "proof beyond a reasonable doubt" are quantitatively imprecise, they do communicate to the finder of fact different notions concerning the degree of confidence he is</w:t>
      </w:r>
      <w:r>
        <w:t xml:space="preserve"> expected to have in the correctness of his factual conclusions.</w:t>
      </w:r>
    </w:p>
    <w:p w14:paraId="0A9C41F4" w14:textId="77777777" w:rsidR="00BB5A3B" w:rsidRDefault="004D461B">
      <w:pPr>
        <w:rPr>
          <w:sz w:val="24"/>
        </w:rPr>
      </w:pPr>
      <w:r>
        <w:tab/>
        <w:t>A second proposition, which is really nothing more than a corollary of the first, is that the trier of fact will sometimes, despite his best efforts, be wrong in his factual conclusions.  I</w:t>
      </w:r>
      <w:r>
        <w:t>n a lawsuit between two parties, a factual error can make a difference in one of two ways.  First, it can result in a judgment in favor of the plaintiff when the true facts warrant a judgment for the defendant.  The analogue in a criminal case would be the</w:t>
      </w:r>
      <w:r>
        <w:t xml:space="preserve"> conviction [397 U.S. 371] of an innocent man.  On the other hand, an erroneous factual determination can result in a judgment for the defendant when the true facts justify a judgment in plaintiff's favor.  The criminal analogue would be the acquittal of a</w:t>
      </w:r>
      <w:r>
        <w:t xml:space="preserve"> guilty man.</w:t>
      </w:r>
    </w:p>
    <w:p w14:paraId="7A2E5F6A" w14:textId="77777777" w:rsidR="00BB5A3B" w:rsidRDefault="004D461B">
      <w:pPr>
        <w:rPr>
          <w:sz w:val="24"/>
        </w:rPr>
      </w:pPr>
      <w:r>
        <w:tab/>
        <w:t>The standard of proof influences the relative frequency of these two types of erroneous outcomes.  If, for example, the standard of proof for a criminal trial were a preponderance of the evidence, rather than proof beyond a reasonable doubt,</w:t>
      </w:r>
      <w:r>
        <w:t xml:space="preserve"> there would be a smaller risk of factual errors that result in freeing guilty persons, but a far greater risk of factual errors that result in convicting the innocent.  Because the standard of proof affects the comparative frequency of these two types of </w:t>
      </w:r>
      <w:r>
        <w:t>erroneous outcomes, the choice of the standard to be applied in a particular kind of litigation should, in a rational world, reflect an assessment of the comparative social disutility of each.</w:t>
      </w:r>
    </w:p>
    <w:p w14:paraId="48A9D547" w14:textId="77777777" w:rsidR="00BB5A3B" w:rsidRDefault="004D461B">
      <w:pPr>
        <w:rPr>
          <w:sz w:val="24"/>
        </w:rPr>
      </w:pPr>
      <w:r>
        <w:tab/>
        <w:t>When one makes such an assessment, the reason for different s</w:t>
      </w:r>
      <w:r>
        <w:t>tandards of proof in civil, as opposed to criminal, litigation becomes apparent.  In a civil suit between two private parties for money damages, for example, we view it as no more serious in general for there to be an erroneous verdict in the defendant's f</w:t>
      </w:r>
      <w:r>
        <w:t xml:space="preserve">avor than for there to be an erroneous verdict in the plaintiff's favor.  A preponderance of the evidence standard therefore seems peculiarly appropriate, for, as explained most </w:t>
      </w:r>
      <w:proofErr w:type="gramStart"/>
      <w:r>
        <w:t>sensibly,{</w:t>
      </w:r>
      <w:proofErr w:type="gramEnd"/>
      <w:r>
        <w:t xml:space="preserve">GO&gt;3} it simply requires the trier of </w:t>
      </w:r>
      <w:proofErr w:type="spellStart"/>
      <w:r>
        <w:t>factto</w:t>
      </w:r>
      <w:proofErr w:type="spellEnd"/>
      <w:r>
        <w:t xml:space="preserve"> believe that the existe</w:t>
      </w:r>
      <w:r>
        <w:t xml:space="preserve">nce of a fact is more probable than its </w:t>
      </w:r>
      <w:r>
        <w:lastRenderedPageBreak/>
        <w:t>nonexistence before [he] may find in favor of the party [397 U.S. 372] who has the burden to persuade the [judge] of the fact's existence.{GO&gt;4}</w:t>
      </w:r>
    </w:p>
    <w:p w14:paraId="4C9ABE94" w14:textId="77777777" w:rsidR="00BB5A3B" w:rsidRDefault="004D461B">
      <w:pPr>
        <w:rPr>
          <w:sz w:val="24"/>
        </w:rPr>
      </w:pPr>
      <w:r>
        <w:tab/>
      </w:r>
      <w:r>
        <w:t>In a criminal case, on the other hand, we do not view the social disutility of convicting an innocent man as equivalent to the disutility of acquitting someone who is guilty.  As MR. JUSTICE BRENNAN wrote for the Court in GO&gt;</w:t>
      </w:r>
      <w:proofErr w:type="spellStart"/>
      <w:r>
        <w:t>Speiser</w:t>
      </w:r>
      <w:proofErr w:type="spellEnd"/>
      <w:r>
        <w:t xml:space="preserve"> v. Randall, 357 U.S. 51</w:t>
      </w:r>
      <w:r>
        <w:t xml:space="preserve">3, GO&gt;525-526 (1958):  There is always in litigation a margin of error, representing error in factfinding, which both parties must </w:t>
      </w:r>
      <w:proofErr w:type="gramStart"/>
      <w:r>
        <w:t>take into account</w:t>
      </w:r>
      <w:proofErr w:type="gramEnd"/>
      <w:r>
        <w:t xml:space="preserve">.  Where one party has at stake an interest of transcending value -- as a criminal defendant his liberty -- </w:t>
      </w:r>
      <w:r>
        <w:t>this margin of error is reduced as to him by the process of placing on the other party the burden . . . of persuading the factfinder at the conclusion of the trial of his guilt beyond a reasonable doubt.</w:t>
      </w:r>
    </w:p>
    <w:p w14:paraId="524A86D9" w14:textId="77777777" w:rsidR="00BB5A3B" w:rsidRDefault="004D461B">
      <w:pPr>
        <w:rPr>
          <w:sz w:val="24"/>
        </w:rPr>
      </w:pPr>
      <w:r>
        <w:tab/>
        <w:t>In this context, I view the requirement of proof b</w:t>
      </w:r>
      <w:r>
        <w:t>eyond a reasonable doubt in a criminal case as bottomed on a fundamental value determination of our society that it is far worse to convict an innocent man than to let a guilty man go free.  It is only because of the nearly complete and longstanding accept</w:t>
      </w:r>
      <w:r>
        <w:t xml:space="preserve">ance of the reasonable doubt standard by the States in criminal trials that the Court has not, before today, had to hold explicitly that due process, as an expression of fundamental procedural </w:t>
      </w:r>
      <w:proofErr w:type="gramStart"/>
      <w:r>
        <w:t>fairness,{</w:t>
      </w:r>
      <w:proofErr w:type="gramEnd"/>
      <w:r>
        <w:t>GO&gt;5} requires a more stringent standard for criminal</w:t>
      </w:r>
      <w:r>
        <w:t xml:space="preserve"> trials than for ordinary civil litigation. [397 U.S. 373]</w:t>
      </w:r>
    </w:p>
    <w:p w14:paraId="51CA96DF" w14:textId="77777777" w:rsidR="00BB5A3B" w:rsidRDefault="004D461B">
      <w:pPr>
        <w:rPr>
          <w:sz w:val="24"/>
        </w:rPr>
      </w:pPr>
      <w:r>
        <w:t>II</w:t>
      </w:r>
    </w:p>
    <w:p w14:paraId="0D4946B4" w14:textId="77777777" w:rsidR="00BB5A3B" w:rsidRDefault="004D461B">
      <w:pPr>
        <w:rPr>
          <w:sz w:val="24"/>
        </w:rPr>
      </w:pPr>
      <w:r>
        <w:tab/>
        <w:t xml:space="preserve">When one assesses the consequences of an erroneous factual determination in a juvenile delinquency proceeding in which a youth is accused of a crime, I think it must be concluded that, while </w:t>
      </w:r>
      <w:r>
        <w:t>the consequences are [397 U.S. 374] not identical to those in a criminal case, the differences will not support a distinction in the standard of proof.  First, and of paramount importance, a factual error here, as in a criminal case, exposes the accused to</w:t>
      </w:r>
      <w:r>
        <w:t xml:space="preserve"> a complete loss of his personal liberty through a state-imposed confinement away from his home, family, and friends.  And second, a delinquency determination, to some extent at least, stigmatizes a youth in that it is, by definition, bottomed on a finding</w:t>
      </w:r>
      <w:r>
        <w:t xml:space="preserve"> that the accused committed a crime.{GO&gt;6}  Although there are no doubt costs to society (and possibly even to the youth himself) in letting a guilty youth go free, I think here, as in a criminal case, it is far worse to declare an innocent youth a delinqu</w:t>
      </w:r>
      <w:r>
        <w:t>ent.  I therefore agree that a juvenile court judge should be no less convinced of the factual conclusion that the accused committed the criminal act with which he is charged than would be required in a criminal trial.</w:t>
      </w:r>
    </w:p>
    <w:p w14:paraId="208E8335" w14:textId="77777777" w:rsidR="00BB5A3B" w:rsidRDefault="004D461B">
      <w:pPr>
        <w:rPr>
          <w:sz w:val="24"/>
        </w:rPr>
      </w:pPr>
      <w:r>
        <w:t>III</w:t>
      </w:r>
    </w:p>
    <w:p w14:paraId="06851C22" w14:textId="77777777" w:rsidR="00BB5A3B" w:rsidRDefault="004D461B">
      <w:pPr>
        <w:rPr>
          <w:sz w:val="24"/>
        </w:rPr>
      </w:pPr>
      <w:r>
        <w:tab/>
        <w:t xml:space="preserve">I wish to emphasize, as I did </w:t>
      </w:r>
      <w:r>
        <w:t>in my separate opinion in Gault, 387 U.S. 1, GO&gt;65, that there is no automatic congruence [397 U.S. 375] between the procedural requirements imposed by due process in a criminal case and those imposed by due process in juvenile cases.{GO&gt;7}  It is of great</w:t>
      </w:r>
      <w:r>
        <w:t xml:space="preserve"> importance, in my view, that procedural strictures not be constitutionally imposed that jeopardize "the essential elements of the State's purpose" in creating juvenile courts, id. at GO&gt;72.  In this regard, I think it worth emphasizing that the requiremen</w:t>
      </w:r>
      <w:r>
        <w:t>t of proof beyond a reasonable doubt that a juvenile committed a criminal act before he is found to be a delinquent does not (1) interfere with the worthy goal of rehabilitating the juvenile, (2) make any significant difference in the extent to which a you</w:t>
      </w:r>
      <w:r>
        <w:t>th is stigmatized as a "criminal" because he has been found to be a delinquent, or (3) burden the juvenile courts with a procedural requirement that will make juvenile adjudications significantly more time consuming, or rigid.  Today's decision simply requ</w:t>
      </w:r>
      <w:r>
        <w:t>ires a juvenile court judge to be more confident in his belief that the youth did the act with which he has been charged.</w:t>
      </w:r>
    </w:p>
    <w:p w14:paraId="5E9ADEAD" w14:textId="77777777" w:rsidR="00BB5A3B" w:rsidRDefault="004D461B">
      <w:pPr>
        <w:rPr>
          <w:sz w:val="24"/>
        </w:rPr>
      </w:pPr>
      <w:r>
        <w:lastRenderedPageBreak/>
        <w:tab/>
        <w:t>With these observations, I join the Court's opinion, subject only to the constitutional reservations expressed in my opinion in Gaul</w:t>
      </w:r>
      <w:r>
        <w:t>t.</w:t>
      </w:r>
    </w:p>
    <w:p w14:paraId="47849A18" w14:textId="77777777" w:rsidR="00BB5A3B" w:rsidRDefault="004D461B">
      <w:pPr>
        <w:rPr>
          <w:sz w:val="24"/>
        </w:rPr>
      </w:pPr>
      <w:r>
        <w:tab/>
        <w:t>MR. CHIEF JUSTICE BURGER, with whom MR. JUSTICE STEWART joins, dissenting.</w:t>
      </w:r>
    </w:p>
    <w:p w14:paraId="53131C6A" w14:textId="77777777" w:rsidR="00BB5A3B" w:rsidRDefault="004D461B">
      <w:pPr>
        <w:rPr>
          <w:sz w:val="24"/>
        </w:rPr>
      </w:pPr>
      <w:r>
        <w:tab/>
        <w:t>The Court's opinion today rests entirely on the assumption that all juvenile proceedings are "criminal prosecutions," hence subject to constitutional l</w:t>
      </w:r>
      <w:r>
        <w:t>imitations.  This derives from earlier holdings, which, like today's [397 U.S. 376] holding, were steps eroding the differences between juvenile courts and traditional criminal courts.  The original concept of the juvenile court system was to provide a ben</w:t>
      </w:r>
      <w:r>
        <w:t>evolent and less formal means than criminal courts could provide for dealing with the special, and often sensitive, problems of youthful offenders.  Since I see no constitutional requirement of due process sufficient to overcome the legislative judgment of</w:t>
      </w:r>
      <w:r>
        <w:t xml:space="preserve"> the States in this area, I dissent from further </w:t>
      </w:r>
      <w:proofErr w:type="gramStart"/>
      <w:r>
        <w:t>strait-jacketing</w:t>
      </w:r>
      <w:proofErr w:type="gramEnd"/>
      <w:r>
        <w:t xml:space="preserve"> of an already overly restricted system.  What the juvenile court system needs is not more, but less, of the trappings of legal procedure and judicial formalism; the juvenile court system req</w:t>
      </w:r>
      <w:r>
        <w:t xml:space="preserve">uires breathing room and flexibility </w:t>
      </w:r>
      <w:proofErr w:type="gramStart"/>
      <w:r>
        <w:t>in order to</w:t>
      </w:r>
      <w:proofErr w:type="gramEnd"/>
      <w:r>
        <w:t xml:space="preserve"> survive, if it can survive, the repeated assaults from this Court.</w:t>
      </w:r>
    </w:p>
    <w:p w14:paraId="73CE9C9A" w14:textId="77777777" w:rsidR="00BB5A3B" w:rsidRDefault="004D461B">
      <w:pPr>
        <w:rPr>
          <w:sz w:val="24"/>
        </w:rPr>
      </w:pPr>
      <w:r>
        <w:tab/>
        <w:t xml:space="preserve">Much of the judicial attitude manifested by the Court's opinion today and earlier holdings in this field is really a </w:t>
      </w:r>
      <w:proofErr w:type="gramStart"/>
      <w:r>
        <w:t>protest against</w:t>
      </w:r>
      <w:proofErr w:type="gramEnd"/>
      <w:r>
        <w:t xml:space="preserve"> inade</w:t>
      </w:r>
      <w:r>
        <w:t>quate juvenile court staffs and facilities; we "burn down the stable to get rid of the mice."  The lack of support and the distressing growth of juvenile crime have combined to make for a literal breakdown in many, if not most, juvenile courts.  Constituti</w:t>
      </w:r>
      <w:r>
        <w:t>onal problems were not seen while those courts functioned in an atmosphere where juvenile judges were not crushed with an avalanche of cases.</w:t>
      </w:r>
    </w:p>
    <w:p w14:paraId="2BD24BD4" w14:textId="77777777" w:rsidR="00BB5A3B" w:rsidRDefault="004D461B">
      <w:pPr>
        <w:rPr>
          <w:sz w:val="24"/>
        </w:rPr>
      </w:pPr>
      <w:r>
        <w:tab/>
        <w:t>My hope is that today's decision will not spell the end of a generously conceived program of compassionate treat</w:t>
      </w:r>
      <w:r>
        <w:t>ment intended to mitigate the rigors and trauma of exposing youthful offenders to a traditional criminal court; each step we take turns the clock back to the pre-juvenile court era.  I cannot regard it as a manifestation of progress to transform juvenile c</w:t>
      </w:r>
      <w:r>
        <w:t>ourts into criminal courts, which is what we are well on the way to accomplishing.  We can only hope the legislative response will not reflect our own by having these courts abolished. [397 U.S. 377]</w:t>
      </w:r>
    </w:p>
    <w:p w14:paraId="4890F04F" w14:textId="77777777" w:rsidR="00BB5A3B" w:rsidRDefault="004D461B">
      <w:pPr>
        <w:rPr>
          <w:sz w:val="24"/>
        </w:rPr>
      </w:pPr>
      <w:r>
        <w:tab/>
        <w:t>MR. JUSTICE BLACK, dissenting.</w:t>
      </w:r>
    </w:p>
    <w:p w14:paraId="27C2E4FB" w14:textId="77777777" w:rsidR="00BB5A3B" w:rsidRDefault="004D461B">
      <w:pPr>
        <w:rPr>
          <w:sz w:val="24"/>
        </w:rPr>
      </w:pPr>
      <w:r>
        <w:tab/>
        <w:t>The majority states that many opinions of this Court indicate that it has long been assumed that proof of a criminal charge beyond a reasonable doubt is constitutionally required. Ante at GO&gt;362.  I have joined in some of those opinions, as well as the di</w:t>
      </w:r>
      <w:r>
        <w:t>ssenting opinion of Mr. Justice Frankfurter in GO&gt;Leland v. Oregon, 343 U.S. 790, GO&gt;80 (1952).  The Court has never clearly held, however, that proof beyond a reasonable doubt is either expressly or impliedly commanded by any provision of the Constitution</w:t>
      </w:r>
      <w:r>
        <w:t>.  The Bill of Rights, which, in my view, is made fully applicable to the States by the Fourteenth Amendment, see GO&gt;Adamson v. California, 332 U.S. 46, GO&gt;71-75 (147) (dissenting opinion), does, by express language, provide for, among other things, a righ</w:t>
      </w:r>
      <w:r>
        <w:t>t to counsel in criminal trials, a right to indictment, and the right of a defendant to be informed of the nature of the charges against him.{GO&gt;1}  And, in two places, the Constitution provides for trial by jury,{GO&gt;2} but nowhere in that document is ther</w:t>
      </w:r>
      <w:r>
        <w:t>e any statement that conviction of crime requires proof of guilt beyond a reasonable doubt.  The Constitution thus goes into some detail to spell out what kind of trial a defendant charged with crime should have, and I believe the Court has no power to add</w:t>
      </w:r>
      <w:r>
        <w:t xml:space="preserve"> to or subtract from the procedures set forth by the Founders.  I realize that it is far easier to substitute individual judges' ideas of "fairness" for the fairness prescribed by the Constitution, but I shall not at any time surrender my belief that that </w:t>
      </w:r>
      <w:r>
        <w:t xml:space="preserve">document itself should be our guide, not our own concept of what is fair, decent, and right.  That this </w:t>
      </w:r>
      <w:r>
        <w:lastRenderedPageBreak/>
        <w:t>old "shock-the-conscience" test is what the Court is relying on, rather than the words of the Constitution, [397 U.S. 378] is clearly enough revealed by</w:t>
      </w:r>
      <w:r>
        <w:t xml:space="preserve"> the reference of the majority to "fair treatment" and to the statement by the dissenting judges in the New York Court of Appeals that failure to require proof beyond a reasonable doubt amounts to a "lack of fundamental fairness."  Ante at GO&gt;359, GO&gt;363. </w:t>
      </w:r>
      <w:r>
        <w:t xml:space="preserve"> As I have said time and time again, I prefer to put my faith in the words of the written Constitution itself, rather than to rely on the shifting, day-to-day standards of fairness of individual judges.</w:t>
      </w:r>
    </w:p>
    <w:p w14:paraId="2C4FA5ED" w14:textId="77777777" w:rsidR="00BB5A3B" w:rsidRDefault="004D461B">
      <w:pPr>
        <w:rPr>
          <w:sz w:val="24"/>
        </w:rPr>
      </w:pPr>
      <w:r>
        <w:t>I</w:t>
      </w:r>
    </w:p>
    <w:p w14:paraId="5C7418A6" w14:textId="77777777" w:rsidR="00BB5A3B" w:rsidRDefault="004D461B">
      <w:pPr>
        <w:rPr>
          <w:sz w:val="24"/>
        </w:rPr>
      </w:pPr>
      <w:r>
        <w:tab/>
      </w:r>
      <w:r>
        <w:t>Our Constitution provides that no person shall be "deprived of life, liberty, or property, without due process of law."{GO&gt;3</w:t>
      </w:r>
      <w:proofErr w:type="gramStart"/>
      <w:r>
        <w:t>}  The</w:t>
      </w:r>
      <w:proofErr w:type="gramEnd"/>
      <w:r>
        <w:t xml:space="preserve"> four words -- due process of law -- have been the center of substantial legal debate over the years.  See GO&gt;Chambers v. Flor</w:t>
      </w:r>
      <w:r>
        <w:t>ida, 309 U.S. 227, GO&gt;235-236, and n. 8 (1940).  Some might think that the words themselves are vague.  But any possible ambiguity disappears when the phrase is viewed in the light of history and the accepted meaning of those words prior to and at the time</w:t>
      </w:r>
      <w:r>
        <w:t xml:space="preserve"> our Constitution was written </w:t>
      </w:r>
      <w:r>
        <w:tab/>
        <w:t xml:space="preserve">"Due process of law" was originally used as a shorthand expression for governmental proceedings according to the "law of the land" as it existed at the time of those proceedings.  Both phrases are derived from the laws of </w:t>
      </w:r>
      <w:proofErr w:type="gramStart"/>
      <w:r>
        <w:t>Eng</w:t>
      </w:r>
      <w:r>
        <w:t>land, and</w:t>
      </w:r>
      <w:proofErr w:type="gramEnd"/>
      <w:r>
        <w:t xml:space="preserve"> have traditionally been regarded as meaning the same thing.  The Magna Carta provided that: </w:t>
      </w:r>
      <w:r>
        <w:tab/>
        <w:t xml:space="preserve">No Freeman shall be taken, or imprisoned, or be </w:t>
      </w:r>
      <w:proofErr w:type="spellStart"/>
      <w:r>
        <w:t>disseised</w:t>
      </w:r>
      <w:proofErr w:type="spellEnd"/>
      <w:r>
        <w:t xml:space="preserve"> of his Freehold, or Liberties, or free Customs, or be outlawed, or exiled, or any otherwise [39</w:t>
      </w:r>
      <w:r>
        <w:t xml:space="preserve">7 U.S. 379] destroyed; nor will we not pass upon him, nor condemn him, but by lawful Judgment of his Peers, or by the Law of the Land.{GO&gt;4}Later English statutes reinforced and confirmed these basic freedoms.  In 1350, a statute declared </w:t>
      </w:r>
      <w:proofErr w:type="spellStart"/>
      <w:r>
        <w:t>thatit</w:t>
      </w:r>
      <w:proofErr w:type="spellEnd"/>
      <w:r>
        <w:t xml:space="preserve"> is contain</w:t>
      </w:r>
      <w:r>
        <w:t>ed in the Great Charter of the Franchises of England that none shall be imprisoned nor put out of his Freehold, nor of his Franchises nor free Custom, unless it be by the Law of the Land. . . .{GO&gt;5}Four years later, another statute provided [t]hat no Man,</w:t>
      </w:r>
      <w:r>
        <w:t xml:space="preserve"> of what Estate or Condition that he be, shall be put out of Land or Tenement, nor taken nor imprisoned, nor disinherited, nor put to Death without being brought in Answer by due Process of the Law.{GO&gt;6}And, in 1363, it was provided "that no man be taken </w:t>
      </w:r>
      <w:r>
        <w:t>or imprisoned, nor put out of his freehold, without process of law."{GO&gt;7}</w:t>
      </w:r>
    </w:p>
    <w:p w14:paraId="4B0A5005" w14:textId="77777777" w:rsidR="00BB5A3B" w:rsidRDefault="004D461B">
      <w:pPr>
        <w:rPr>
          <w:sz w:val="24"/>
        </w:rPr>
      </w:pPr>
      <w:r>
        <w:tab/>
        <w:t>Drawing on these and other sources, Lord Coke, in 1642, concluded that "due process of law" was synonymous with the phrase "by law of the land."{GO&gt;8}  One of the earliest cases i</w:t>
      </w:r>
      <w:r>
        <w:t xml:space="preserve">n this Court to involve the interpretation of the Due Process Clause of the Fifth Amendment declared </w:t>
      </w:r>
      <w:proofErr w:type="spellStart"/>
      <w:r>
        <w:t>tha</w:t>
      </w:r>
      <w:proofErr w:type="spellEnd"/>
      <w:r>
        <w:t xml:space="preserve">[t]he words, "due process of law," were undoubtedly intended to convey the same meaning as the words "by the law of the land" in Magna </w:t>
      </w:r>
      <w:proofErr w:type="spellStart"/>
      <w:r>
        <w:t>Charta.GO</w:t>
      </w:r>
      <w:proofErr w:type="spellEnd"/>
      <w:r>
        <w:t>&gt;Murray'</w:t>
      </w:r>
      <w:r>
        <w:t>s Lessee v. Hoboken Land &amp; Improv. Co., 18 How. 272, GO&gt;276 (1856).</w:t>
      </w:r>
    </w:p>
    <w:p w14:paraId="2D42D4B4" w14:textId="77777777" w:rsidR="00BB5A3B" w:rsidRDefault="004D461B">
      <w:pPr>
        <w:rPr>
          <w:sz w:val="24"/>
        </w:rPr>
      </w:pPr>
      <w:r>
        <w:tab/>
        <w:t xml:space="preserve">While it is thus unmistakably clear that "due process of law" means according to "the law of the land," this Court has not consistently defined what "the law of the [397 U.S. 380] land" </w:t>
      </w:r>
      <w:r>
        <w:t>means, and, in my view, members of this Court frequently continue to misconceive the correct interpretation of that phrase.  In Murray's Lessee, supra, Mr. Justice Curtis, speaking for the Court, stated:  The constitution contains no description of those p</w:t>
      </w:r>
      <w:r>
        <w:t>rocesses which it was intended to allow or forbid.  It does not even declare what principles are to be applied to ascertain whether it be due process.  It is manifest that it was not left to the legislative power to enact any process which might be devised</w:t>
      </w:r>
      <w:r>
        <w:t>.  The article is a restraint on the legislative, as well as on the executive and judicial, powers of the government, and cannot be so construed as to leave congress free to make any process "due process of law" by its mere will.  To what principles, then,</w:t>
      </w:r>
      <w:r>
        <w:t xml:space="preserve"> are we to resort to ascertain whether this process, enacted by congress, is due process?  To this, the answer must be two-fold.  We must examine the constitution itself to see whether this process </w:t>
      </w:r>
      <w:proofErr w:type="gramStart"/>
      <w:r>
        <w:t>be in conflict with</w:t>
      </w:r>
      <w:proofErr w:type="gramEnd"/>
      <w:r>
        <w:t xml:space="preserve"> any of its provisions.  If not found t</w:t>
      </w:r>
      <w:r>
        <w:t xml:space="preserve">o be so, we must look to </w:t>
      </w:r>
      <w:r>
        <w:lastRenderedPageBreak/>
        <w:t>those settled usages and modes of proceeding existing in the common and statute law of England before the emigration of our ancestors, and which are shown not to have been unsuited to their civil and political condition by having b</w:t>
      </w:r>
      <w:r>
        <w:t>een acted on by them after the settlement of this country. Id. at GO&gt;276-</w:t>
      </w:r>
      <w:proofErr w:type="gramStart"/>
      <w:r>
        <w:t>277.{</w:t>
      </w:r>
      <w:proofErr w:type="gramEnd"/>
      <w:r>
        <w:t>GO&gt;9}  Later, in GO&gt;Twining v. New Jersey, 211 U.S. 78 (1908), Mr. Justice Moody, again speaking for the Court, reaffirmed that "due process of law" meant "by law of the [397 U.S</w:t>
      </w:r>
      <w:r>
        <w:t xml:space="preserve">. 381] land," but he went on to modify Mr. Justice Curtis' definition of the phrase.  He stated:  </w:t>
      </w:r>
    </w:p>
    <w:p w14:paraId="6B242366" w14:textId="77777777" w:rsidR="00BB5A3B" w:rsidRDefault="004D461B">
      <w:pPr>
        <w:rPr>
          <w:sz w:val="24"/>
        </w:rPr>
      </w:pPr>
      <w:r>
        <w:tab/>
        <w:t>First.  What is due process of law may be ascertained by an examination of those settled usages and modes of proceedings existing in the common and statute</w:t>
      </w:r>
      <w:r>
        <w:t xml:space="preserve"> law of England before the emigration of our ancestors, and shown not to have been unsuited to their civil and political condition by having been acted on by them after the settlement of this country</w:t>
      </w:r>
      <w:proofErr w:type="gramStart"/>
      <w:r>
        <w:t>. . . .</w:t>
      </w:r>
      <w:proofErr w:type="gramEnd"/>
    </w:p>
    <w:p w14:paraId="1152B6C3" w14:textId="1B29EA29" w:rsidR="00BB5A3B" w:rsidRDefault="004D461B">
      <w:pPr>
        <w:rPr>
          <w:sz w:val="24"/>
        </w:rPr>
      </w:pPr>
      <w:r>
        <w:tab/>
        <w:t xml:space="preserve">Second.  It does not follow, however, that a </w:t>
      </w:r>
      <w:r>
        <w:t xml:space="preserve">procedure settled in English law at the time of the </w:t>
      </w:r>
      <w:proofErr w:type="gramStart"/>
      <w:r>
        <w:t>emigration, and</w:t>
      </w:r>
      <w:proofErr w:type="gramEnd"/>
      <w:r>
        <w:t xml:space="preserve"> brought to this country and practiced by our ancestors, is an essential element of due process of law.  If that were so, the procedure of the first half of the seventeenth century would be</w:t>
      </w:r>
      <w:r>
        <w:t xml:space="preserve"> fastened upon the American jurisprudence like a straight-jacket, only to be unloosed by constitutional </w:t>
      </w:r>
      <w:proofErr w:type="spellStart"/>
      <w:r>
        <w:t>amen</w:t>
      </w:r>
      <w:r>
        <w:t>ment</w:t>
      </w:r>
      <w:proofErr w:type="spellEnd"/>
      <w:proofErr w:type="gramStart"/>
      <w:r>
        <w:t>. . . .</w:t>
      </w:r>
      <w:proofErr w:type="gramEnd"/>
    </w:p>
    <w:p w14:paraId="26D5B529" w14:textId="77777777" w:rsidR="00BB5A3B" w:rsidRDefault="004D461B">
      <w:pPr>
        <w:rPr>
          <w:sz w:val="24"/>
        </w:rPr>
      </w:pPr>
      <w:r>
        <w:tab/>
        <w:t>Third.  But, consistently with the requirements of due process, no change in ancient procedure can be made which disregards those fun</w:t>
      </w:r>
      <w:r>
        <w:t xml:space="preserve">damental principles, to be ascertained from time to time by judicial action, which have relation to process of law and protect the citizen in his private right, and guard him against the arbitrary action of </w:t>
      </w:r>
      <w:proofErr w:type="spellStart"/>
      <w:r>
        <w:t>government.Id</w:t>
      </w:r>
      <w:proofErr w:type="spellEnd"/>
      <w:r>
        <w:t>. at GO&gt;100-101.{GO&gt;10}  In those wo</w:t>
      </w:r>
      <w:r>
        <w:t>rds is found the kernel of the "natural law due process" notion by which this Court frees itself from the limits of a written Constitution and sets itself loose to declare any law unconstitutional that "shocks its conscience," deprives a person of "fundame</w:t>
      </w:r>
      <w:r>
        <w:t>ntal fairness," or violates the principles "implicit in the concept of [397 U.S. 382] ordered liberty."  See GO&gt;</w:t>
      </w:r>
      <w:proofErr w:type="spellStart"/>
      <w:r>
        <w:t>Rochin</w:t>
      </w:r>
      <w:proofErr w:type="spellEnd"/>
      <w:r>
        <w:t xml:space="preserve"> v. California, 342 U.S. 165, GO&gt;172 (1952); GO&gt;Palko v. Connecticut, 302 U.S. 319, GO&gt;325 (1937).  While this approach has been frequentl</w:t>
      </w:r>
      <w:r>
        <w:t>y used in deciding so-called "procedural" questions, it has evolved into a device as easily invoked to declare invalid "substantive" laws that sufficiently shock the consciences of at least five members of this Court.  See, e.g., GO&gt;Lochner v. New York, 19</w:t>
      </w:r>
      <w:r>
        <w:t>8 U.S. 45 (1905); GO&gt;</w:t>
      </w:r>
      <w:proofErr w:type="spellStart"/>
      <w:r>
        <w:t>Coppage</w:t>
      </w:r>
      <w:proofErr w:type="spellEnd"/>
      <w:r>
        <w:t xml:space="preserve"> v. Kansas, 236 U.S. 1 (1915); GO&gt;Burns Baking Co. v. Bryan, 264 U.S. 504 (1924); GO&gt;Griswold v. Connecticut, 381 U.S. 479 (1965).  I have set forth at length in prior opinions my own views that this concept is completely at odd</w:t>
      </w:r>
      <w:r>
        <w:t xml:space="preserve">s with the basic principle that our </w:t>
      </w:r>
      <w:proofErr w:type="gramStart"/>
      <w:r>
        <w:t>Government</w:t>
      </w:r>
      <w:proofErr w:type="gramEnd"/>
      <w:r>
        <w:t xml:space="preserve"> is one of limited powers, and that such an arrogation of unlimited authority by the judiciary cannot be supported by the language or the history of any provision of the Constitution.  See, e.g., GO&gt;Adamson v. </w:t>
      </w:r>
      <w:r>
        <w:t>California, 332 U.S. 46, GO&gt;68 (1947) (dissenting opinion); Griswold v. Connecticut, supra, at GO&gt;507 (1965) (dissenting opinion).</w:t>
      </w:r>
    </w:p>
    <w:p w14:paraId="0E9A6A3A" w14:textId="77777777" w:rsidR="00BB5A3B" w:rsidRDefault="004D461B">
      <w:pPr>
        <w:rPr>
          <w:sz w:val="24"/>
        </w:rPr>
      </w:pPr>
      <w:r>
        <w:tab/>
        <w:t xml:space="preserve">In my view, both Mr. Justice Curtis and Mr. Justice Moody gave "due process of law" an unjustifiably broad interpretation. </w:t>
      </w:r>
      <w:r>
        <w:t xml:space="preserve"> For me, the only correct meaning of that phrase is that our </w:t>
      </w:r>
      <w:proofErr w:type="gramStart"/>
      <w:r>
        <w:t>Government</w:t>
      </w:r>
      <w:proofErr w:type="gramEnd"/>
      <w:r>
        <w:t xml:space="preserve"> must proceed according to the "law of the land" -- that is, according to written constitutional and statutory provisions as interpreted by court decisions.  The Due Process Clause, in </w:t>
      </w:r>
      <w:r>
        <w:t xml:space="preserve">both the Fifth and Fourteenth Amendments, in and of itself, does not add to those provisions, but, in effect, states that our governments are governments of law, and constitutionally bound to act only according to </w:t>
      </w:r>
      <w:proofErr w:type="gramStart"/>
      <w:r>
        <w:t>law.{</w:t>
      </w:r>
      <w:proofErr w:type="gramEnd"/>
      <w:r>
        <w:t>GO&gt;11}  To some, that view may seem a</w:t>
      </w:r>
      <w:r>
        <w:t xml:space="preserve"> degrading and niggardly view of what is undoubtedly a fundamental part of our basic freedoms.  [397 U.S. 383] But that criticism fails to note the historical importance of our Constitution and the virtual revolution in the history of the government of nat</w:t>
      </w:r>
      <w:r>
        <w:t>ions that was achieved by forming a government that, from the beginning, had its limits of power set forth in one written document that [397 U.S. 384] also made it abundantly clear that all governmental actions affecting life, liberty, and property were to</w:t>
      </w:r>
      <w:r>
        <w:t xml:space="preserve"> be according to law.</w:t>
      </w:r>
    </w:p>
    <w:p w14:paraId="2DB9C976" w14:textId="77777777" w:rsidR="00BB5A3B" w:rsidRDefault="004D461B">
      <w:pPr>
        <w:rPr>
          <w:sz w:val="24"/>
        </w:rPr>
      </w:pPr>
      <w:r>
        <w:lastRenderedPageBreak/>
        <w:tab/>
        <w:t xml:space="preserve">For years, our ancestors had struggled </w:t>
      </w:r>
      <w:proofErr w:type="gramStart"/>
      <w:r>
        <w:t>in an attempt to</w:t>
      </w:r>
      <w:proofErr w:type="gramEnd"/>
      <w:r>
        <w:t xml:space="preserve"> bring England under one written constitution, consolidating in one place all the threads of the fundamental law of that nation.  They almost succeeded in that </w:t>
      </w:r>
      <w:proofErr w:type="gramStart"/>
      <w:r>
        <w:t>attempt,{</w:t>
      </w:r>
      <w:proofErr w:type="gramEnd"/>
      <w:r>
        <w:t>GO&gt;12} b</w:t>
      </w:r>
      <w:r>
        <w:t>ut it was not until after the American Revolution that men were able to achieve that long-sought goal.  But the struggle had not been simply to put all the constitutional law in one document, it was also to make certain that men would be governed by law, n</w:t>
      </w:r>
      <w:r>
        <w:t xml:space="preserve">ot the arbitrary fiat of the man or men in power.  Our ancestors' ancestors had known the tyranny of the kings and the rule of </w:t>
      </w:r>
      <w:proofErr w:type="gramStart"/>
      <w:r>
        <w:t>man</w:t>
      </w:r>
      <w:proofErr w:type="gramEnd"/>
      <w:r>
        <w:t xml:space="preserve"> and it was, in my view, in order to insure against such actions that the Founders wrote into our own Magna Carta the fundamen</w:t>
      </w:r>
      <w:r>
        <w:t>tal principle of the rule of law, as expressed in the historically meaningful phrase "due process of law."  The many decisions of this Court that have found in that phrase a blanket authority to govern the country according to the views of at least five me</w:t>
      </w:r>
      <w:r>
        <w:t>mbers of this institution have ignored the essential meaning of the very words they invoke.  When this Court assumes for itself the power to declare any law -- state or federal -- unconstitutional because it offends the majority's own views of what is fund</w:t>
      </w:r>
      <w:r>
        <w:t>amental and decent in our society, our Nation ceases to be governed according to the "law of the land," and instead becomes one governed ultimately by the "law of the judges."</w:t>
      </w:r>
    </w:p>
    <w:p w14:paraId="0399771B" w14:textId="77777777" w:rsidR="00BB5A3B" w:rsidRDefault="004D461B">
      <w:pPr>
        <w:rPr>
          <w:sz w:val="24"/>
        </w:rPr>
      </w:pPr>
      <w:r>
        <w:tab/>
        <w:t>It can be, and has been, argued that, when this Court strikes down a legislati</w:t>
      </w:r>
      <w:r>
        <w:t>ve act because it offends the idea of "fundamental fairness," it furthers the basic thrust of our Bill of Rights by protecting individual freedom.  [397 U.S. 385] But that argument ignores the effect of such decisions on perhaps the most fundamental indivi</w:t>
      </w:r>
      <w:r>
        <w:t xml:space="preserve">dual liberty of our people -- the right of each man to participate in the self-government of his society.  Our Federal Government was set up as one of limited powers, but it was also given broad power to do all that was "necessary and proper" to carry out </w:t>
      </w:r>
      <w:r>
        <w:t>its basic purpose of governing the Nation, so long as those powers were not exercised contrary to the limitations set forth in the Constitution.  And the States, to the extent they are not restrained by the provisions in that document, were to be left free</w:t>
      </w:r>
      <w:r>
        <w:t xml:space="preserve"> to govern themselves in accordance with their own views of fairness and decency.  Any legislature presumably passes a law because it thinks the end result will help more than </w:t>
      </w:r>
      <w:proofErr w:type="gramStart"/>
      <w:r>
        <w:t>hinder, and</w:t>
      </w:r>
      <w:proofErr w:type="gramEnd"/>
      <w:r>
        <w:t xml:space="preserve"> will thus further the liberty of the society as a whole.  The people</w:t>
      </w:r>
      <w:r>
        <w:t>, through their elected representatives, may, of course, be wrong in making those determinations, but the right of self-government that our Constitution preserves is just as important as any of the specific individual freedoms preserved in the Bill of Righ</w:t>
      </w:r>
      <w:r>
        <w:t>ts.  The liberty of government by the people, in my opinion, should never be denied by this Court except when the decision of the people, as stated in laws passed by their chosen representatives, conflicts with the express or necessarily implied commands o</w:t>
      </w:r>
      <w:r>
        <w:t>f our Constitution.</w:t>
      </w:r>
    </w:p>
    <w:p w14:paraId="5317B443" w14:textId="77777777" w:rsidR="00BB5A3B" w:rsidRDefault="004D461B">
      <w:pPr>
        <w:rPr>
          <w:sz w:val="24"/>
        </w:rPr>
      </w:pPr>
      <w:r>
        <w:t>II</w:t>
      </w:r>
    </w:p>
    <w:p w14:paraId="275E83A6" w14:textId="62869A54" w:rsidR="00BB5A3B" w:rsidRDefault="004D461B">
      <w:pPr>
        <w:rPr>
          <w:sz w:val="24"/>
        </w:rPr>
      </w:pPr>
      <w:r>
        <w:tab/>
        <w:t>I admit a strong, persuasive argument can be made for a standard of proof beyond a reasonable doubt in criminal cases -- and the majority has made that argument well -- but it is not for me as a judge to say for that reason that C</w:t>
      </w:r>
      <w:r>
        <w:t>ongress or the States are without constitutional power to establish another standard that the Constitution does not otherwise forbid.  It is quite true that proof beyond a reasonable doubt has long been required in federal criminal trials.  It is also true</w:t>
      </w:r>
      <w:r>
        <w:t xml:space="preserve"> that [397 U.S. 386] this requirement is almost universally found in the governing laws of the States.  And </w:t>
      </w:r>
      <w:proofErr w:type="gramStart"/>
      <w:r>
        <w:t>as long as</w:t>
      </w:r>
      <w:proofErr w:type="gramEnd"/>
      <w:r>
        <w:t xml:space="preserve"> a particular jurisdiction requires proof beyond a reasonable doubt, then the Due Process Clause commands that every trial in that jurisdi</w:t>
      </w:r>
      <w:r>
        <w:t>ction must adhere to that standard.  See GO&gt;Turner v. United States, 396 U.S. 398, GO&gt;430 (1970) (BLACK, J., dissenting).  But when, as here, a State, through its duly constituted legislative branch, decides to apply a different standard, then that standar</w:t>
      </w:r>
      <w:r>
        <w:t xml:space="preserve">d, unless it is otherwise unconstitutional, must be applied to </w:t>
      </w:r>
      <w:proofErr w:type="gramStart"/>
      <w:r>
        <w:t>insure</w:t>
      </w:r>
      <w:proofErr w:type="gramEnd"/>
      <w:r>
        <w:t xml:space="preserve"> that persons are treated according to the "law of the land."  The State of New York has made such a decision, and, in my view, nothing in the Due Process Clause invalidates it.</w:t>
      </w:r>
    </w:p>
    <w:sectPr w:rsidR="00BB5A3B">
      <w:footerReference w:type="default" r:id="rId6"/>
      <w:pgSz w:w="12240" w:h="15840"/>
      <w:pgMar w:top="1440" w:right="1440" w:bottom="1440" w:left="144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935D0" w14:textId="77777777" w:rsidR="004D461B" w:rsidRDefault="004D461B" w:rsidP="00352A01">
      <w:pPr>
        <w:spacing w:after="0"/>
      </w:pPr>
      <w:r>
        <w:separator/>
      </w:r>
    </w:p>
  </w:endnote>
  <w:endnote w:type="continuationSeparator" w:id="0">
    <w:p w14:paraId="5EF5D697" w14:textId="77777777" w:rsidR="004D461B" w:rsidRDefault="004D461B" w:rsidP="00352A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945022"/>
      <w:docPartObj>
        <w:docPartGallery w:val="Page Numbers (Bottom of Page)"/>
        <w:docPartUnique/>
      </w:docPartObj>
    </w:sdtPr>
    <w:sdtEndPr>
      <w:rPr>
        <w:noProof/>
      </w:rPr>
    </w:sdtEndPr>
    <w:sdtContent>
      <w:p w14:paraId="2CAED2E1" w14:textId="373CE152" w:rsidR="00293AD5" w:rsidRDefault="00293A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17F7C3" w14:textId="77777777" w:rsidR="00352A01" w:rsidRDefault="00352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D5DC" w14:textId="77777777" w:rsidR="004D461B" w:rsidRDefault="004D461B" w:rsidP="00352A01">
      <w:pPr>
        <w:spacing w:after="0"/>
      </w:pPr>
      <w:r>
        <w:separator/>
      </w:r>
    </w:p>
  </w:footnote>
  <w:footnote w:type="continuationSeparator" w:id="0">
    <w:p w14:paraId="46673051" w14:textId="77777777" w:rsidR="004D461B" w:rsidRDefault="004D461B" w:rsidP="00352A0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A01"/>
    <w:rsid w:val="000009B0"/>
    <w:rsid w:val="00005BF5"/>
    <w:rsid w:val="00006F0C"/>
    <w:rsid w:val="00007466"/>
    <w:rsid w:val="0001325A"/>
    <w:rsid w:val="000210AE"/>
    <w:rsid w:val="0002186C"/>
    <w:rsid w:val="000309F5"/>
    <w:rsid w:val="000311DE"/>
    <w:rsid w:val="000360FE"/>
    <w:rsid w:val="00037937"/>
    <w:rsid w:val="00042C69"/>
    <w:rsid w:val="00044B03"/>
    <w:rsid w:val="00052716"/>
    <w:rsid w:val="0005788E"/>
    <w:rsid w:val="0006136D"/>
    <w:rsid w:val="00062D9F"/>
    <w:rsid w:val="000669AD"/>
    <w:rsid w:val="000735EA"/>
    <w:rsid w:val="00073D12"/>
    <w:rsid w:val="0007474D"/>
    <w:rsid w:val="000753C2"/>
    <w:rsid w:val="00075838"/>
    <w:rsid w:val="000800E9"/>
    <w:rsid w:val="00082F2A"/>
    <w:rsid w:val="00083512"/>
    <w:rsid w:val="0008581A"/>
    <w:rsid w:val="0009034E"/>
    <w:rsid w:val="000939C0"/>
    <w:rsid w:val="00095748"/>
    <w:rsid w:val="00095D0B"/>
    <w:rsid w:val="000A277A"/>
    <w:rsid w:val="000A57B2"/>
    <w:rsid w:val="000B4B05"/>
    <w:rsid w:val="000B4F11"/>
    <w:rsid w:val="000C1E72"/>
    <w:rsid w:val="000C5B3D"/>
    <w:rsid w:val="000C7D93"/>
    <w:rsid w:val="000D2972"/>
    <w:rsid w:val="000D54F2"/>
    <w:rsid w:val="000D6143"/>
    <w:rsid w:val="000E0BD8"/>
    <w:rsid w:val="000E3EF4"/>
    <w:rsid w:val="000E5E7E"/>
    <w:rsid w:val="000E6B67"/>
    <w:rsid w:val="000E7646"/>
    <w:rsid w:val="000F0ED0"/>
    <w:rsid w:val="000F170D"/>
    <w:rsid w:val="000F25DC"/>
    <w:rsid w:val="000F3293"/>
    <w:rsid w:val="000F3B79"/>
    <w:rsid w:val="0010063B"/>
    <w:rsid w:val="0010063C"/>
    <w:rsid w:val="001061A1"/>
    <w:rsid w:val="001072A2"/>
    <w:rsid w:val="0011280F"/>
    <w:rsid w:val="00113B4F"/>
    <w:rsid w:val="00114EB3"/>
    <w:rsid w:val="00120733"/>
    <w:rsid w:val="00120BDF"/>
    <w:rsid w:val="001217C6"/>
    <w:rsid w:val="00124B70"/>
    <w:rsid w:val="00124CB6"/>
    <w:rsid w:val="00133011"/>
    <w:rsid w:val="001334DE"/>
    <w:rsid w:val="00140AD0"/>
    <w:rsid w:val="00145EFD"/>
    <w:rsid w:val="00150D27"/>
    <w:rsid w:val="001514B5"/>
    <w:rsid w:val="00151A80"/>
    <w:rsid w:val="001553CC"/>
    <w:rsid w:val="00155A9E"/>
    <w:rsid w:val="00157F44"/>
    <w:rsid w:val="00160F8A"/>
    <w:rsid w:val="00172503"/>
    <w:rsid w:val="00177CA2"/>
    <w:rsid w:val="00181632"/>
    <w:rsid w:val="0018211F"/>
    <w:rsid w:val="001821EC"/>
    <w:rsid w:val="00185530"/>
    <w:rsid w:val="00187FCB"/>
    <w:rsid w:val="00190DD3"/>
    <w:rsid w:val="00191E6D"/>
    <w:rsid w:val="001939E1"/>
    <w:rsid w:val="00194D0D"/>
    <w:rsid w:val="00196B4B"/>
    <w:rsid w:val="00196B68"/>
    <w:rsid w:val="001A1614"/>
    <w:rsid w:val="001A4C47"/>
    <w:rsid w:val="001B76F2"/>
    <w:rsid w:val="001C524C"/>
    <w:rsid w:val="001D2B6D"/>
    <w:rsid w:val="001D4258"/>
    <w:rsid w:val="001D4D5C"/>
    <w:rsid w:val="001D745B"/>
    <w:rsid w:val="001E1615"/>
    <w:rsid w:val="001E60AF"/>
    <w:rsid w:val="001E6544"/>
    <w:rsid w:val="001E7703"/>
    <w:rsid w:val="001F276C"/>
    <w:rsid w:val="001F4239"/>
    <w:rsid w:val="001F7117"/>
    <w:rsid w:val="001F78B7"/>
    <w:rsid w:val="0020336C"/>
    <w:rsid w:val="002061D4"/>
    <w:rsid w:val="00212779"/>
    <w:rsid w:val="002139AF"/>
    <w:rsid w:val="00215054"/>
    <w:rsid w:val="002170B2"/>
    <w:rsid w:val="00221C65"/>
    <w:rsid w:val="0022256D"/>
    <w:rsid w:val="00226DFE"/>
    <w:rsid w:val="00227E4E"/>
    <w:rsid w:val="00231817"/>
    <w:rsid w:val="00232418"/>
    <w:rsid w:val="00234CF9"/>
    <w:rsid w:val="0023663C"/>
    <w:rsid w:val="00240D6C"/>
    <w:rsid w:val="002427A1"/>
    <w:rsid w:val="00260354"/>
    <w:rsid w:val="002677DE"/>
    <w:rsid w:val="002700F6"/>
    <w:rsid w:val="00273C1B"/>
    <w:rsid w:val="002748CE"/>
    <w:rsid w:val="00277527"/>
    <w:rsid w:val="00280188"/>
    <w:rsid w:val="002802CA"/>
    <w:rsid w:val="00281693"/>
    <w:rsid w:val="002820BD"/>
    <w:rsid w:val="00282EC7"/>
    <w:rsid w:val="00293031"/>
    <w:rsid w:val="00293AD5"/>
    <w:rsid w:val="002A3FA3"/>
    <w:rsid w:val="002A70BA"/>
    <w:rsid w:val="002B0144"/>
    <w:rsid w:val="002B0831"/>
    <w:rsid w:val="002B1B12"/>
    <w:rsid w:val="002B435D"/>
    <w:rsid w:val="002B4D25"/>
    <w:rsid w:val="002B52BE"/>
    <w:rsid w:val="002B5C09"/>
    <w:rsid w:val="002C249D"/>
    <w:rsid w:val="002C7718"/>
    <w:rsid w:val="002D08ED"/>
    <w:rsid w:val="002D0EE4"/>
    <w:rsid w:val="002D144D"/>
    <w:rsid w:val="002E626C"/>
    <w:rsid w:val="002F673A"/>
    <w:rsid w:val="003014A4"/>
    <w:rsid w:val="00303E4C"/>
    <w:rsid w:val="00304834"/>
    <w:rsid w:val="00304953"/>
    <w:rsid w:val="00307994"/>
    <w:rsid w:val="00310178"/>
    <w:rsid w:val="00312848"/>
    <w:rsid w:val="00314400"/>
    <w:rsid w:val="003146AE"/>
    <w:rsid w:val="003146F0"/>
    <w:rsid w:val="00315D06"/>
    <w:rsid w:val="00322541"/>
    <w:rsid w:val="00324082"/>
    <w:rsid w:val="00335285"/>
    <w:rsid w:val="0034095E"/>
    <w:rsid w:val="00340D73"/>
    <w:rsid w:val="00340ECF"/>
    <w:rsid w:val="003424A4"/>
    <w:rsid w:val="00343E7D"/>
    <w:rsid w:val="003453FF"/>
    <w:rsid w:val="00352A01"/>
    <w:rsid w:val="0036037F"/>
    <w:rsid w:val="0036128C"/>
    <w:rsid w:val="003633D2"/>
    <w:rsid w:val="00363D97"/>
    <w:rsid w:val="00365CDA"/>
    <w:rsid w:val="00375646"/>
    <w:rsid w:val="003756DF"/>
    <w:rsid w:val="00375CAA"/>
    <w:rsid w:val="00375D68"/>
    <w:rsid w:val="00377024"/>
    <w:rsid w:val="00377DD6"/>
    <w:rsid w:val="00380674"/>
    <w:rsid w:val="00381BC1"/>
    <w:rsid w:val="00381D09"/>
    <w:rsid w:val="00385CD1"/>
    <w:rsid w:val="00387F0A"/>
    <w:rsid w:val="003A043E"/>
    <w:rsid w:val="003A228D"/>
    <w:rsid w:val="003A6266"/>
    <w:rsid w:val="003B1954"/>
    <w:rsid w:val="003B1BF5"/>
    <w:rsid w:val="003B6D38"/>
    <w:rsid w:val="003C0959"/>
    <w:rsid w:val="003C113B"/>
    <w:rsid w:val="003C2668"/>
    <w:rsid w:val="003C2E45"/>
    <w:rsid w:val="003C3F7B"/>
    <w:rsid w:val="003C417C"/>
    <w:rsid w:val="003C4DEC"/>
    <w:rsid w:val="003C611E"/>
    <w:rsid w:val="003C6CD4"/>
    <w:rsid w:val="003D1369"/>
    <w:rsid w:val="003D3247"/>
    <w:rsid w:val="003D770E"/>
    <w:rsid w:val="003D7CD9"/>
    <w:rsid w:val="003E0910"/>
    <w:rsid w:val="003E2A00"/>
    <w:rsid w:val="003E2E0D"/>
    <w:rsid w:val="003E4318"/>
    <w:rsid w:val="003E6AD4"/>
    <w:rsid w:val="003E6D1B"/>
    <w:rsid w:val="003F38BE"/>
    <w:rsid w:val="0040425C"/>
    <w:rsid w:val="00406EA8"/>
    <w:rsid w:val="004116AA"/>
    <w:rsid w:val="00412649"/>
    <w:rsid w:val="0041476F"/>
    <w:rsid w:val="00415256"/>
    <w:rsid w:val="0041529B"/>
    <w:rsid w:val="0041665E"/>
    <w:rsid w:val="004172D5"/>
    <w:rsid w:val="004220BC"/>
    <w:rsid w:val="00422B47"/>
    <w:rsid w:val="004244FB"/>
    <w:rsid w:val="00425F26"/>
    <w:rsid w:val="004300BB"/>
    <w:rsid w:val="00433FA6"/>
    <w:rsid w:val="00451AE7"/>
    <w:rsid w:val="004571C2"/>
    <w:rsid w:val="00462CF9"/>
    <w:rsid w:val="00470BD5"/>
    <w:rsid w:val="00470F49"/>
    <w:rsid w:val="004779C5"/>
    <w:rsid w:val="004816CA"/>
    <w:rsid w:val="0048541D"/>
    <w:rsid w:val="00486070"/>
    <w:rsid w:val="004872D5"/>
    <w:rsid w:val="00492FCC"/>
    <w:rsid w:val="004A1F27"/>
    <w:rsid w:val="004A714B"/>
    <w:rsid w:val="004B1CF6"/>
    <w:rsid w:val="004B2626"/>
    <w:rsid w:val="004B2E07"/>
    <w:rsid w:val="004B311C"/>
    <w:rsid w:val="004B60FF"/>
    <w:rsid w:val="004B65E4"/>
    <w:rsid w:val="004B7383"/>
    <w:rsid w:val="004B7A5B"/>
    <w:rsid w:val="004C1732"/>
    <w:rsid w:val="004C529B"/>
    <w:rsid w:val="004C7DB9"/>
    <w:rsid w:val="004D461B"/>
    <w:rsid w:val="004D79B1"/>
    <w:rsid w:val="004E067C"/>
    <w:rsid w:val="004E2155"/>
    <w:rsid w:val="004E34BD"/>
    <w:rsid w:val="00502270"/>
    <w:rsid w:val="00512794"/>
    <w:rsid w:val="00514331"/>
    <w:rsid w:val="00524ACD"/>
    <w:rsid w:val="005269D3"/>
    <w:rsid w:val="00531EB0"/>
    <w:rsid w:val="0053488D"/>
    <w:rsid w:val="0053650B"/>
    <w:rsid w:val="00542828"/>
    <w:rsid w:val="00545653"/>
    <w:rsid w:val="00550A9C"/>
    <w:rsid w:val="00553AF6"/>
    <w:rsid w:val="00553C4B"/>
    <w:rsid w:val="00554903"/>
    <w:rsid w:val="005635A6"/>
    <w:rsid w:val="005644D6"/>
    <w:rsid w:val="005649B2"/>
    <w:rsid w:val="00567046"/>
    <w:rsid w:val="00571E9D"/>
    <w:rsid w:val="00572845"/>
    <w:rsid w:val="00575999"/>
    <w:rsid w:val="00582386"/>
    <w:rsid w:val="00584B18"/>
    <w:rsid w:val="00586C04"/>
    <w:rsid w:val="005919E6"/>
    <w:rsid w:val="00595C32"/>
    <w:rsid w:val="005977C7"/>
    <w:rsid w:val="005A0CA0"/>
    <w:rsid w:val="005A17F7"/>
    <w:rsid w:val="005A1EF4"/>
    <w:rsid w:val="005A28AB"/>
    <w:rsid w:val="005A7833"/>
    <w:rsid w:val="005A7BCF"/>
    <w:rsid w:val="005B0769"/>
    <w:rsid w:val="005B31D9"/>
    <w:rsid w:val="005B7FB7"/>
    <w:rsid w:val="005D00C3"/>
    <w:rsid w:val="005D1653"/>
    <w:rsid w:val="005D236A"/>
    <w:rsid w:val="005D5BBF"/>
    <w:rsid w:val="005E1ED6"/>
    <w:rsid w:val="005E3AE4"/>
    <w:rsid w:val="005E54A0"/>
    <w:rsid w:val="005F0D3A"/>
    <w:rsid w:val="005F4219"/>
    <w:rsid w:val="005F5BE6"/>
    <w:rsid w:val="005F6381"/>
    <w:rsid w:val="0060458A"/>
    <w:rsid w:val="00605A3F"/>
    <w:rsid w:val="00607A1E"/>
    <w:rsid w:val="0061127E"/>
    <w:rsid w:val="006125BF"/>
    <w:rsid w:val="00616CEA"/>
    <w:rsid w:val="006173F8"/>
    <w:rsid w:val="0062001C"/>
    <w:rsid w:val="00623D57"/>
    <w:rsid w:val="0062708D"/>
    <w:rsid w:val="00630554"/>
    <w:rsid w:val="00630ED8"/>
    <w:rsid w:val="00634DC0"/>
    <w:rsid w:val="0063795B"/>
    <w:rsid w:val="00642374"/>
    <w:rsid w:val="00645114"/>
    <w:rsid w:val="0064677F"/>
    <w:rsid w:val="00647D77"/>
    <w:rsid w:val="00656840"/>
    <w:rsid w:val="006606D2"/>
    <w:rsid w:val="0066186D"/>
    <w:rsid w:val="006640EB"/>
    <w:rsid w:val="006643A3"/>
    <w:rsid w:val="00673CDC"/>
    <w:rsid w:val="00674925"/>
    <w:rsid w:val="006761D0"/>
    <w:rsid w:val="00676E38"/>
    <w:rsid w:val="00677195"/>
    <w:rsid w:val="006824B0"/>
    <w:rsid w:val="006856E8"/>
    <w:rsid w:val="00685C40"/>
    <w:rsid w:val="00691FBD"/>
    <w:rsid w:val="00692038"/>
    <w:rsid w:val="006933AB"/>
    <w:rsid w:val="00694A41"/>
    <w:rsid w:val="00694CCA"/>
    <w:rsid w:val="006950C7"/>
    <w:rsid w:val="00695272"/>
    <w:rsid w:val="006B466F"/>
    <w:rsid w:val="006C3081"/>
    <w:rsid w:val="006C7090"/>
    <w:rsid w:val="006D144E"/>
    <w:rsid w:val="006D4D8B"/>
    <w:rsid w:val="006E4152"/>
    <w:rsid w:val="006F38E1"/>
    <w:rsid w:val="006F729A"/>
    <w:rsid w:val="00701F08"/>
    <w:rsid w:val="007020B2"/>
    <w:rsid w:val="007074E0"/>
    <w:rsid w:val="007122F5"/>
    <w:rsid w:val="007137B8"/>
    <w:rsid w:val="00713F0A"/>
    <w:rsid w:val="0072058C"/>
    <w:rsid w:val="007320B8"/>
    <w:rsid w:val="00732F2A"/>
    <w:rsid w:val="007341E9"/>
    <w:rsid w:val="0074155B"/>
    <w:rsid w:val="00747941"/>
    <w:rsid w:val="007533DD"/>
    <w:rsid w:val="00754422"/>
    <w:rsid w:val="007551F1"/>
    <w:rsid w:val="00757319"/>
    <w:rsid w:val="00763519"/>
    <w:rsid w:val="00771E11"/>
    <w:rsid w:val="0077201B"/>
    <w:rsid w:val="007722A0"/>
    <w:rsid w:val="00772354"/>
    <w:rsid w:val="0077366D"/>
    <w:rsid w:val="00775205"/>
    <w:rsid w:val="00777CA8"/>
    <w:rsid w:val="00781130"/>
    <w:rsid w:val="00783868"/>
    <w:rsid w:val="00783FF4"/>
    <w:rsid w:val="007857B2"/>
    <w:rsid w:val="00786F1B"/>
    <w:rsid w:val="0079109A"/>
    <w:rsid w:val="00793D13"/>
    <w:rsid w:val="00794E3A"/>
    <w:rsid w:val="00796F61"/>
    <w:rsid w:val="007A2AE4"/>
    <w:rsid w:val="007A5F47"/>
    <w:rsid w:val="007A74A5"/>
    <w:rsid w:val="007B45F5"/>
    <w:rsid w:val="007B7080"/>
    <w:rsid w:val="007C27BC"/>
    <w:rsid w:val="007C6448"/>
    <w:rsid w:val="007D04E5"/>
    <w:rsid w:val="007D2FB7"/>
    <w:rsid w:val="007D4197"/>
    <w:rsid w:val="007D5DC7"/>
    <w:rsid w:val="007D735E"/>
    <w:rsid w:val="007E5D89"/>
    <w:rsid w:val="007E60B2"/>
    <w:rsid w:val="007F0993"/>
    <w:rsid w:val="007F3A97"/>
    <w:rsid w:val="008017C5"/>
    <w:rsid w:val="0080258C"/>
    <w:rsid w:val="0080514F"/>
    <w:rsid w:val="00807F84"/>
    <w:rsid w:val="00810D2C"/>
    <w:rsid w:val="0082286D"/>
    <w:rsid w:val="00833948"/>
    <w:rsid w:val="00841AB5"/>
    <w:rsid w:val="008518BA"/>
    <w:rsid w:val="00855AE5"/>
    <w:rsid w:val="00857CFD"/>
    <w:rsid w:val="00863F2F"/>
    <w:rsid w:val="00865EF8"/>
    <w:rsid w:val="00871F17"/>
    <w:rsid w:val="0087210C"/>
    <w:rsid w:val="008756B9"/>
    <w:rsid w:val="00880741"/>
    <w:rsid w:val="0088415C"/>
    <w:rsid w:val="008856C6"/>
    <w:rsid w:val="00885F35"/>
    <w:rsid w:val="008865D6"/>
    <w:rsid w:val="00887285"/>
    <w:rsid w:val="0089049E"/>
    <w:rsid w:val="0089597E"/>
    <w:rsid w:val="008963A1"/>
    <w:rsid w:val="008966B2"/>
    <w:rsid w:val="0089744F"/>
    <w:rsid w:val="00897584"/>
    <w:rsid w:val="008A15C0"/>
    <w:rsid w:val="008A172B"/>
    <w:rsid w:val="008A2EFC"/>
    <w:rsid w:val="008B0E64"/>
    <w:rsid w:val="008C0DAF"/>
    <w:rsid w:val="008C40E0"/>
    <w:rsid w:val="008C5E59"/>
    <w:rsid w:val="008C77DF"/>
    <w:rsid w:val="008C7F3C"/>
    <w:rsid w:val="008D4699"/>
    <w:rsid w:val="008D736D"/>
    <w:rsid w:val="008E0C4A"/>
    <w:rsid w:val="008E11F9"/>
    <w:rsid w:val="008E3A39"/>
    <w:rsid w:val="008E3CF1"/>
    <w:rsid w:val="008E545C"/>
    <w:rsid w:val="008E63D2"/>
    <w:rsid w:val="008E6A55"/>
    <w:rsid w:val="008F6E55"/>
    <w:rsid w:val="0090080A"/>
    <w:rsid w:val="00900D63"/>
    <w:rsid w:val="00901622"/>
    <w:rsid w:val="009035F3"/>
    <w:rsid w:val="00903EB6"/>
    <w:rsid w:val="009129EC"/>
    <w:rsid w:val="00916BEC"/>
    <w:rsid w:val="009173DE"/>
    <w:rsid w:val="00923155"/>
    <w:rsid w:val="009232AC"/>
    <w:rsid w:val="0092356A"/>
    <w:rsid w:val="00923BEB"/>
    <w:rsid w:val="009246E6"/>
    <w:rsid w:val="0092526C"/>
    <w:rsid w:val="009252DE"/>
    <w:rsid w:val="00932076"/>
    <w:rsid w:val="00932523"/>
    <w:rsid w:val="0094045A"/>
    <w:rsid w:val="00940717"/>
    <w:rsid w:val="00940FEC"/>
    <w:rsid w:val="00942114"/>
    <w:rsid w:val="00943EE7"/>
    <w:rsid w:val="0094446C"/>
    <w:rsid w:val="00945936"/>
    <w:rsid w:val="00945FB0"/>
    <w:rsid w:val="009543DF"/>
    <w:rsid w:val="00957B75"/>
    <w:rsid w:val="009615C6"/>
    <w:rsid w:val="00966EC1"/>
    <w:rsid w:val="009841A0"/>
    <w:rsid w:val="00992BF7"/>
    <w:rsid w:val="009A4510"/>
    <w:rsid w:val="009A6AA3"/>
    <w:rsid w:val="009B0962"/>
    <w:rsid w:val="009B1047"/>
    <w:rsid w:val="009B4CBE"/>
    <w:rsid w:val="009B672C"/>
    <w:rsid w:val="009B7B03"/>
    <w:rsid w:val="009C0CD1"/>
    <w:rsid w:val="009C14FA"/>
    <w:rsid w:val="009C661B"/>
    <w:rsid w:val="009C7616"/>
    <w:rsid w:val="009D21F0"/>
    <w:rsid w:val="009D2899"/>
    <w:rsid w:val="009E7A23"/>
    <w:rsid w:val="009F4557"/>
    <w:rsid w:val="009F772F"/>
    <w:rsid w:val="009F7D89"/>
    <w:rsid w:val="00A01B3E"/>
    <w:rsid w:val="00A01FA3"/>
    <w:rsid w:val="00A023EA"/>
    <w:rsid w:val="00A03FD6"/>
    <w:rsid w:val="00A06F02"/>
    <w:rsid w:val="00A0756F"/>
    <w:rsid w:val="00A2481C"/>
    <w:rsid w:val="00A26DD7"/>
    <w:rsid w:val="00A3243D"/>
    <w:rsid w:val="00A329E6"/>
    <w:rsid w:val="00A32D2F"/>
    <w:rsid w:val="00A37608"/>
    <w:rsid w:val="00A40708"/>
    <w:rsid w:val="00A43A27"/>
    <w:rsid w:val="00A45CA4"/>
    <w:rsid w:val="00A46EDD"/>
    <w:rsid w:val="00A47BC4"/>
    <w:rsid w:val="00A50DA3"/>
    <w:rsid w:val="00A51F41"/>
    <w:rsid w:val="00A539E7"/>
    <w:rsid w:val="00A620F4"/>
    <w:rsid w:val="00A653C4"/>
    <w:rsid w:val="00A67566"/>
    <w:rsid w:val="00A71268"/>
    <w:rsid w:val="00A769A4"/>
    <w:rsid w:val="00A77414"/>
    <w:rsid w:val="00A90130"/>
    <w:rsid w:val="00A926EE"/>
    <w:rsid w:val="00A95F6E"/>
    <w:rsid w:val="00A960E8"/>
    <w:rsid w:val="00AA3530"/>
    <w:rsid w:val="00AA49B7"/>
    <w:rsid w:val="00AA5E37"/>
    <w:rsid w:val="00AA7F04"/>
    <w:rsid w:val="00AB08BC"/>
    <w:rsid w:val="00AB6ACC"/>
    <w:rsid w:val="00AC06D1"/>
    <w:rsid w:val="00AC58C6"/>
    <w:rsid w:val="00AC6CF7"/>
    <w:rsid w:val="00AD072D"/>
    <w:rsid w:val="00AD0B2B"/>
    <w:rsid w:val="00AD1E53"/>
    <w:rsid w:val="00AD2A06"/>
    <w:rsid w:val="00AD515E"/>
    <w:rsid w:val="00AE448F"/>
    <w:rsid w:val="00AE508E"/>
    <w:rsid w:val="00AE5DEC"/>
    <w:rsid w:val="00AE67B5"/>
    <w:rsid w:val="00AF2D14"/>
    <w:rsid w:val="00AF3AAB"/>
    <w:rsid w:val="00AF6EED"/>
    <w:rsid w:val="00AF7689"/>
    <w:rsid w:val="00B004CA"/>
    <w:rsid w:val="00B0174A"/>
    <w:rsid w:val="00B01B26"/>
    <w:rsid w:val="00B04566"/>
    <w:rsid w:val="00B06EFF"/>
    <w:rsid w:val="00B10135"/>
    <w:rsid w:val="00B11780"/>
    <w:rsid w:val="00B11CBE"/>
    <w:rsid w:val="00B14BA6"/>
    <w:rsid w:val="00B23A44"/>
    <w:rsid w:val="00B259CC"/>
    <w:rsid w:val="00B32450"/>
    <w:rsid w:val="00B34DF4"/>
    <w:rsid w:val="00B41730"/>
    <w:rsid w:val="00B47F90"/>
    <w:rsid w:val="00B507D6"/>
    <w:rsid w:val="00B50D77"/>
    <w:rsid w:val="00B55C4C"/>
    <w:rsid w:val="00B55D2A"/>
    <w:rsid w:val="00B56C7D"/>
    <w:rsid w:val="00B5717D"/>
    <w:rsid w:val="00B5797F"/>
    <w:rsid w:val="00B57B8E"/>
    <w:rsid w:val="00B72F60"/>
    <w:rsid w:val="00B746BA"/>
    <w:rsid w:val="00B751D9"/>
    <w:rsid w:val="00B756E0"/>
    <w:rsid w:val="00B75E24"/>
    <w:rsid w:val="00B81C47"/>
    <w:rsid w:val="00B82E46"/>
    <w:rsid w:val="00B85869"/>
    <w:rsid w:val="00B87CC0"/>
    <w:rsid w:val="00B91B12"/>
    <w:rsid w:val="00B93B2B"/>
    <w:rsid w:val="00BA0CBF"/>
    <w:rsid w:val="00BA6C7C"/>
    <w:rsid w:val="00BB0CCB"/>
    <w:rsid w:val="00BB139A"/>
    <w:rsid w:val="00BB4523"/>
    <w:rsid w:val="00BB4728"/>
    <w:rsid w:val="00BB4E44"/>
    <w:rsid w:val="00BB5650"/>
    <w:rsid w:val="00BB5A3B"/>
    <w:rsid w:val="00BB6FAF"/>
    <w:rsid w:val="00BB7144"/>
    <w:rsid w:val="00BC10B1"/>
    <w:rsid w:val="00BC3B53"/>
    <w:rsid w:val="00BC4B63"/>
    <w:rsid w:val="00BC6398"/>
    <w:rsid w:val="00BD3B20"/>
    <w:rsid w:val="00BD7DC2"/>
    <w:rsid w:val="00BE16D5"/>
    <w:rsid w:val="00BE17C0"/>
    <w:rsid w:val="00BE1B2B"/>
    <w:rsid w:val="00BE3D37"/>
    <w:rsid w:val="00BF0163"/>
    <w:rsid w:val="00BF15B4"/>
    <w:rsid w:val="00BF2D3A"/>
    <w:rsid w:val="00BF5B17"/>
    <w:rsid w:val="00C07647"/>
    <w:rsid w:val="00C12135"/>
    <w:rsid w:val="00C15D40"/>
    <w:rsid w:val="00C2078E"/>
    <w:rsid w:val="00C220F4"/>
    <w:rsid w:val="00C23F0E"/>
    <w:rsid w:val="00C2441E"/>
    <w:rsid w:val="00C24CF6"/>
    <w:rsid w:val="00C311DC"/>
    <w:rsid w:val="00C32045"/>
    <w:rsid w:val="00C340E7"/>
    <w:rsid w:val="00C342F8"/>
    <w:rsid w:val="00C36029"/>
    <w:rsid w:val="00C40781"/>
    <w:rsid w:val="00C416F5"/>
    <w:rsid w:val="00C44950"/>
    <w:rsid w:val="00C452FA"/>
    <w:rsid w:val="00C46054"/>
    <w:rsid w:val="00C47D91"/>
    <w:rsid w:val="00C5229D"/>
    <w:rsid w:val="00C52851"/>
    <w:rsid w:val="00C55811"/>
    <w:rsid w:val="00C56474"/>
    <w:rsid w:val="00C56DEC"/>
    <w:rsid w:val="00C5787D"/>
    <w:rsid w:val="00C61B1C"/>
    <w:rsid w:val="00C61BD6"/>
    <w:rsid w:val="00C62E62"/>
    <w:rsid w:val="00C703EB"/>
    <w:rsid w:val="00C87095"/>
    <w:rsid w:val="00C930E6"/>
    <w:rsid w:val="00C93727"/>
    <w:rsid w:val="00C93B55"/>
    <w:rsid w:val="00C94798"/>
    <w:rsid w:val="00C9487C"/>
    <w:rsid w:val="00C95F22"/>
    <w:rsid w:val="00C96A31"/>
    <w:rsid w:val="00C96CBA"/>
    <w:rsid w:val="00CB22FB"/>
    <w:rsid w:val="00CC00B5"/>
    <w:rsid w:val="00CC6062"/>
    <w:rsid w:val="00CC7A86"/>
    <w:rsid w:val="00CC7E60"/>
    <w:rsid w:val="00CC7ED8"/>
    <w:rsid w:val="00CE0171"/>
    <w:rsid w:val="00CE2110"/>
    <w:rsid w:val="00CE39B4"/>
    <w:rsid w:val="00CF2007"/>
    <w:rsid w:val="00CF20F5"/>
    <w:rsid w:val="00CF4601"/>
    <w:rsid w:val="00CF52F4"/>
    <w:rsid w:val="00CF5EB4"/>
    <w:rsid w:val="00CF6F57"/>
    <w:rsid w:val="00CF7264"/>
    <w:rsid w:val="00CF7A04"/>
    <w:rsid w:val="00CF7AF1"/>
    <w:rsid w:val="00D0009E"/>
    <w:rsid w:val="00D00A3E"/>
    <w:rsid w:val="00D032BF"/>
    <w:rsid w:val="00D04CE6"/>
    <w:rsid w:val="00D06D36"/>
    <w:rsid w:val="00D07D35"/>
    <w:rsid w:val="00D113AF"/>
    <w:rsid w:val="00D13625"/>
    <w:rsid w:val="00D208AF"/>
    <w:rsid w:val="00D21EED"/>
    <w:rsid w:val="00D231A1"/>
    <w:rsid w:val="00D246C6"/>
    <w:rsid w:val="00D307D0"/>
    <w:rsid w:val="00D33AC8"/>
    <w:rsid w:val="00D34E33"/>
    <w:rsid w:val="00D35223"/>
    <w:rsid w:val="00D365E3"/>
    <w:rsid w:val="00D36BE5"/>
    <w:rsid w:val="00D3772E"/>
    <w:rsid w:val="00D401B7"/>
    <w:rsid w:val="00D4207F"/>
    <w:rsid w:val="00D43809"/>
    <w:rsid w:val="00D469AA"/>
    <w:rsid w:val="00D50A30"/>
    <w:rsid w:val="00D60793"/>
    <w:rsid w:val="00D60FBD"/>
    <w:rsid w:val="00D76285"/>
    <w:rsid w:val="00D86759"/>
    <w:rsid w:val="00D87708"/>
    <w:rsid w:val="00D90D0F"/>
    <w:rsid w:val="00D90D84"/>
    <w:rsid w:val="00D932B8"/>
    <w:rsid w:val="00D958D0"/>
    <w:rsid w:val="00D972A5"/>
    <w:rsid w:val="00DA3F1D"/>
    <w:rsid w:val="00DA4F2B"/>
    <w:rsid w:val="00DA5A50"/>
    <w:rsid w:val="00DA73DA"/>
    <w:rsid w:val="00DA7662"/>
    <w:rsid w:val="00DB2333"/>
    <w:rsid w:val="00DB372E"/>
    <w:rsid w:val="00DB45F5"/>
    <w:rsid w:val="00DB60C9"/>
    <w:rsid w:val="00DB6353"/>
    <w:rsid w:val="00DC5287"/>
    <w:rsid w:val="00DD2AA0"/>
    <w:rsid w:val="00DD4C05"/>
    <w:rsid w:val="00DD5042"/>
    <w:rsid w:val="00DE0031"/>
    <w:rsid w:val="00DE71FB"/>
    <w:rsid w:val="00DF058E"/>
    <w:rsid w:val="00DF5B5F"/>
    <w:rsid w:val="00DF5B75"/>
    <w:rsid w:val="00E04314"/>
    <w:rsid w:val="00E05EAC"/>
    <w:rsid w:val="00E20E25"/>
    <w:rsid w:val="00E210D6"/>
    <w:rsid w:val="00E218C6"/>
    <w:rsid w:val="00E22CEA"/>
    <w:rsid w:val="00E23CA9"/>
    <w:rsid w:val="00E24134"/>
    <w:rsid w:val="00E266A8"/>
    <w:rsid w:val="00E4349C"/>
    <w:rsid w:val="00E502C1"/>
    <w:rsid w:val="00E5036C"/>
    <w:rsid w:val="00E55B93"/>
    <w:rsid w:val="00E6004B"/>
    <w:rsid w:val="00E61197"/>
    <w:rsid w:val="00E6166C"/>
    <w:rsid w:val="00E71AB7"/>
    <w:rsid w:val="00E8631C"/>
    <w:rsid w:val="00E90485"/>
    <w:rsid w:val="00E95D6F"/>
    <w:rsid w:val="00E95F06"/>
    <w:rsid w:val="00E972FB"/>
    <w:rsid w:val="00EA0BF4"/>
    <w:rsid w:val="00EA2995"/>
    <w:rsid w:val="00EA315D"/>
    <w:rsid w:val="00EB1074"/>
    <w:rsid w:val="00EB2307"/>
    <w:rsid w:val="00EB458E"/>
    <w:rsid w:val="00EB75C6"/>
    <w:rsid w:val="00EB7A8E"/>
    <w:rsid w:val="00ED6C82"/>
    <w:rsid w:val="00EE0E4D"/>
    <w:rsid w:val="00EE51AC"/>
    <w:rsid w:val="00EF7EA5"/>
    <w:rsid w:val="00F00AAD"/>
    <w:rsid w:val="00F05C8D"/>
    <w:rsid w:val="00F07066"/>
    <w:rsid w:val="00F100DD"/>
    <w:rsid w:val="00F125B1"/>
    <w:rsid w:val="00F21450"/>
    <w:rsid w:val="00F228BA"/>
    <w:rsid w:val="00F26D91"/>
    <w:rsid w:val="00F27BD3"/>
    <w:rsid w:val="00F318C5"/>
    <w:rsid w:val="00F32563"/>
    <w:rsid w:val="00F33992"/>
    <w:rsid w:val="00F447C7"/>
    <w:rsid w:val="00F44D2B"/>
    <w:rsid w:val="00F50E35"/>
    <w:rsid w:val="00F5188F"/>
    <w:rsid w:val="00F53605"/>
    <w:rsid w:val="00F6306E"/>
    <w:rsid w:val="00F6774C"/>
    <w:rsid w:val="00F715AF"/>
    <w:rsid w:val="00F71C44"/>
    <w:rsid w:val="00F729C1"/>
    <w:rsid w:val="00F72FC5"/>
    <w:rsid w:val="00F7354F"/>
    <w:rsid w:val="00F7435B"/>
    <w:rsid w:val="00F80C72"/>
    <w:rsid w:val="00F8409E"/>
    <w:rsid w:val="00F9454D"/>
    <w:rsid w:val="00FA12DE"/>
    <w:rsid w:val="00FA186D"/>
    <w:rsid w:val="00FA7DBB"/>
    <w:rsid w:val="00FB2C4F"/>
    <w:rsid w:val="00FB2F32"/>
    <w:rsid w:val="00FC13AE"/>
    <w:rsid w:val="00FC495B"/>
    <w:rsid w:val="00FD2804"/>
    <w:rsid w:val="00FD5972"/>
    <w:rsid w:val="00FD63CE"/>
    <w:rsid w:val="00FD7F6B"/>
    <w:rsid w:val="00FE1059"/>
    <w:rsid w:val="00FF2CE9"/>
    <w:rsid w:val="00FF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585E"/>
  <w15:docId w15:val="{2CB4E04D-4213-45CC-BB58-380E93B5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A01"/>
    <w:pPr>
      <w:tabs>
        <w:tab w:val="center" w:pos="4680"/>
        <w:tab w:val="right" w:pos="9360"/>
      </w:tabs>
      <w:spacing w:after="0"/>
    </w:pPr>
  </w:style>
  <w:style w:type="character" w:customStyle="1" w:styleId="HeaderChar">
    <w:name w:val="Header Char"/>
    <w:basedOn w:val="DefaultParagraphFont"/>
    <w:link w:val="Header"/>
    <w:uiPriority w:val="99"/>
    <w:rsid w:val="00352A01"/>
  </w:style>
  <w:style w:type="paragraph" w:styleId="Footer">
    <w:name w:val="footer"/>
    <w:basedOn w:val="Normal"/>
    <w:link w:val="FooterChar"/>
    <w:uiPriority w:val="99"/>
    <w:unhideWhenUsed/>
    <w:rsid w:val="00352A01"/>
    <w:pPr>
      <w:tabs>
        <w:tab w:val="center" w:pos="4680"/>
        <w:tab w:val="right" w:pos="9360"/>
      </w:tabs>
      <w:spacing w:after="0"/>
    </w:pPr>
  </w:style>
  <w:style w:type="character" w:customStyle="1" w:styleId="FooterChar">
    <w:name w:val="Footer Char"/>
    <w:basedOn w:val="DefaultParagraphFont"/>
    <w:link w:val="Footer"/>
    <w:uiPriority w:val="99"/>
    <w:rsid w:val="00352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6158</Words>
  <Characters>35104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2022-03-07T03:10:00Z</dcterms:created>
  <dcterms:modified xsi:type="dcterms:W3CDTF">2022-03-07T03:10:00Z</dcterms:modified>
</cp:coreProperties>
</file>