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65D03" w14:textId="77777777" w:rsidR="00144027" w:rsidRPr="00144027" w:rsidRDefault="00144027" w:rsidP="00144027">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144027">
        <w:rPr>
          <w:rFonts w:ascii="Times New Roman" w:eastAsia="Times New Roman" w:hAnsi="Times New Roman" w:cs="Times New Roman"/>
          <w:b/>
          <w:bCs/>
          <w:sz w:val="36"/>
          <w:szCs w:val="36"/>
        </w:rPr>
        <w:t>United States Supreme Court</w:t>
      </w:r>
    </w:p>
    <w:p w14:paraId="4FCB33AD" w14:textId="77777777" w:rsidR="00144027" w:rsidRPr="00144027" w:rsidRDefault="00144027" w:rsidP="00144027">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144027">
        <w:rPr>
          <w:rFonts w:ascii="Times New Roman" w:eastAsia="Times New Roman" w:hAnsi="Times New Roman" w:cs="Times New Roman"/>
          <w:b/>
          <w:bCs/>
          <w:sz w:val="27"/>
          <w:szCs w:val="27"/>
        </w:rPr>
        <w:t>LOS ANGELES DEPT. OF WATER &amp; POWER v. MANHART, (1978)</w:t>
      </w:r>
    </w:p>
    <w:p w14:paraId="51DDA7FF" w14:textId="5A656EE5" w:rsidR="00144027" w:rsidRPr="00144027" w:rsidRDefault="00144027" w:rsidP="00144027">
      <w:pPr>
        <w:spacing w:after="0" w:line="240" w:lineRule="auto"/>
        <w:rPr>
          <w:rFonts w:ascii="Times New Roman" w:eastAsia="Times New Roman" w:hAnsi="Times New Roman" w:cs="Times New Roman"/>
        </w:rPr>
      </w:pPr>
      <w:r w:rsidRPr="00144027">
        <w:rPr>
          <w:rFonts w:ascii="Times New Roman" w:eastAsia="Times New Roman" w:hAnsi="Times New Roman" w:cs="Times New Roman"/>
        </w:rPr>
        <w:t xml:space="preserve">. </w:t>
      </w:r>
    </w:p>
    <w:p w14:paraId="3F82C1FF" w14:textId="77777777" w:rsidR="00144027" w:rsidRPr="00144027" w:rsidRDefault="00144027" w:rsidP="00144027">
      <w:pPr>
        <w:spacing w:before="100" w:beforeAutospacing="1" w:after="100" w:afterAutospacing="1" w:line="240" w:lineRule="auto"/>
        <w:rPr>
          <w:rFonts w:ascii="Times New Roman" w:eastAsia="Times New Roman" w:hAnsi="Times New Roman" w:cs="Times New Roman"/>
        </w:rPr>
      </w:pPr>
      <w:r w:rsidRPr="00144027">
        <w:rPr>
          <w:rFonts w:ascii="Times New Roman" w:eastAsia="Times New Roman" w:hAnsi="Times New Roman" w:cs="Times New Roman"/>
        </w:rPr>
        <w:t xml:space="preserve">STEVENS, J., delivered the opinion of the Court, in which STEWART, WHITE, and POWELL, JJ., joined, in all but Part IV of which MARSHALL, J., joined, and in Part IV of which BURGER, C. J., and BLACKMUN and REHNQUIST, JJ., joined. BLACKMUN, J., filed an opinion concurring in part and concurring in the judgment, post, p. 723. BURGER, C. J., filed an opinion concurring in part and dissenting in part, in which REHNQUIST, J., joined, post, p. 725. MARSHALL, J., filed an opinion concurring in part and dissenting in part, post, p. 728. BRENNAN, J., took no part in the consideration or decision of the case. </w:t>
      </w:r>
    </w:p>
    <w:p w14:paraId="7066A479" w14:textId="6C83EDFC" w:rsidR="00144027" w:rsidRPr="00144027" w:rsidRDefault="00144027" w:rsidP="00144027">
      <w:pPr>
        <w:spacing w:before="100" w:beforeAutospacing="1" w:after="100" w:afterAutospacing="1" w:line="240" w:lineRule="auto"/>
        <w:rPr>
          <w:rFonts w:ascii="Times New Roman" w:eastAsia="Times New Roman" w:hAnsi="Times New Roman" w:cs="Times New Roman"/>
        </w:rPr>
      </w:pPr>
      <w:r w:rsidRPr="00144027">
        <w:rPr>
          <w:rFonts w:ascii="Times New Roman" w:eastAsia="Times New Roman" w:hAnsi="Times New Roman" w:cs="Times New Roman"/>
        </w:rPr>
        <w:t xml:space="preserve"> MR. JUSTICE STEVENS delivered the opinion of the Court. </w:t>
      </w:r>
    </w:p>
    <w:p w14:paraId="2CC0B9AF" w14:textId="77777777" w:rsidR="00144027" w:rsidRPr="00144027" w:rsidRDefault="00144027" w:rsidP="00144027">
      <w:pPr>
        <w:spacing w:before="100" w:beforeAutospacing="1" w:after="100" w:afterAutospacing="1" w:line="240" w:lineRule="auto"/>
        <w:rPr>
          <w:rFonts w:ascii="Times New Roman" w:eastAsia="Times New Roman" w:hAnsi="Times New Roman" w:cs="Times New Roman"/>
        </w:rPr>
      </w:pPr>
      <w:r w:rsidRPr="00144027">
        <w:rPr>
          <w:rFonts w:ascii="Times New Roman" w:eastAsia="Times New Roman" w:hAnsi="Times New Roman" w:cs="Times New Roman"/>
        </w:rPr>
        <w:t xml:space="preserve">As a class, women live longer than men. For this reason, the Los Angeles Department of Water and Power required its female employees to make larger contributions to its pension fund than its male employees. We granted certiorari to decide whether this practice discriminated against individual female employees because of their sex in violation of 703 (a) (1) of the Civil Rights Act of 1964, as amended. </w:t>
      </w:r>
      <w:bookmarkStart w:id="0" w:name="t1"/>
      <w:r w:rsidRPr="00144027">
        <w:rPr>
          <w:rFonts w:ascii="Times New Roman" w:eastAsia="Times New Roman" w:hAnsi="Times New Roman" w:cs="Times New Roman"/>
        </w:rPr>
        <w:fldChar w:fldCharType="begin"/>
      </w:r>
      <w:r w:rsidRPr="00144027">
        <w:rPr>
          <w:rFonts w:ascii="Times New Roman" w:eastAsia="Times New Roman" w:hAnsi="Times New Roman" w:cs="Times New Roman"/>
        </w:rPr>
        <w:instrText xml:space="preserve"> HYPERLINK "https://caselaw.findlaw.com/us-supreme-court/435/702.html" \l "f1" </w:instrText>
      </w:r>
      <w:r w:rsidRPr="00144027">
        <w:rPr>
          <w:rFonts w:ascii="Times New Roman" w:eastAsia="Times New Roman" w:hAnsi="Times New Roman" w:cs="Times New Roman"/>
        </w:rPr>
        <w:fldChar w:fldCharType="separate"/>
      </w:r>
      <w:r w:rsidRPr="00144027">
        <w:rPr>
          <w:rFonts w:ascii="Times New Roman" w:eastAsia="Times New Roman" w:hAnsi="Times New Roman" w:cs="Times New Roman"/>
          <w:color w:val="0000FF"/>
          <w:u w:val="single"/>
        </w:rPr>
        <w:t xml:space="preserve">1 </w:t>
      </w:r>
      <w:r w:rsidRPr="00144027">
        <w:rPr>
          <w:rFonts w:ascii="Times New Roman" w:eastAsia="Times New Roman" w:hAnsi="Times New Roman" w:cs="Times New Roman"/>
        </w:rPr>
        <w:fldChar w:fldCharType="end"/>
      </w:r>
      <w:bookmarkEnd w:id="0"/>
      <w:r w:rsidRPr="00144027">
        <w:rPr>
          <w:rFonts w:ascii="Times New Roman" w:eastAsia="Times New Roman" w:hAnsi="Times New Roman" w:cs="Times New Roman"/>
        </w:rPr>
        <w:t xml:space="preserve">  </w:t>
      </w:r>
    </w:p>
    <w:p w14:paraId="78A02EA3" w14:textId="77777777" w:rsidR="00144027" w:rsidRPr="00144027" w:rsidRDefault="00144027" w:rsidP="00144027">
      <w:pPr>
        <w:spacing w:before="100" w:beforeAutospacing="1" w:after="100" w:afterAutospacing="1" w:line="240" w:lineRule="auto"/>
        <w:rPr>
          <w:rFonts w:ascii="Times New Roman" w:eastAsia="Times New Roman" w:hAnsi="Times New Roman" w:cs="Times New Roman"/>
        </w:rPr>
      </w:pPr>
      <w:r w:rsidRPr="00144027">
        <w:rPr>
          <w:rFonts w:ascii="Times New Roman" w:eastAsia="Times New Roman" w:hAnsi="Times New Roman" w:cs="Times New Roman"/>
        </w:rPr>
        <w:t xml:space="preserve">For many years the Department </w:t>
      </w:r>
      <w:bookmarkStart w:id="1" w:name="t2"/>
      <w:r w:rsidRPr="00144027">
        <w:rPr>
          <w:rFonts w:ascii="Times New Roman" w:eastAsia="Times New Roman" w:hAnsi="Times New Roman" w:cs="Times New Roman"/>
        </w:rPr>
        <w:fldChar w:fldCharType="begin"/>
      </w:r>
      <w:r w:rsidRPr="00144027">
        <w:rPr>
          <w:rFonts w:ascii="Times New Roman" w:eastAsia="Times New Roman" w:hAnsi="Times New Roman" w:cs="Times New Roman"/>
        </w:rPr>
        <w:instrText xml:space="preserve"> HYPERLINK "https://caselaw.findlaw.com/us-supreme-court/435/702.html" \l "f2" </w:instrText>
      </w:r>
      <w:r w:rsidRPr="00144027">
        <w:rPr>
          <w:rFonts w:ascii="Times New Roman" w:eastAsia="Times New Roman" w:hAnsi="Times New Roman" w:cs="Times New Roman"/>
        </w:rPr>
        <w:fldChar w:fldCharType="separate"/>
      </w:r>
      <w:r w:rsidRPr="00144027">
        <w:rPr>
          <w:rFonts w:ascii="Times New Roman" w:eastAsia="Times New Roman" w:hAnsi="Times New Roman" w:cs="Times New Roman"/>
          <w:color w:val="0000FF"/>
          <w:u w:val="single"/>
        </w:rPr>
        <w:t xml:space="preserve">2 </w:t>
      </w:r>
      <w:r w:rsidRPr="00144027">
        <w:rPr>
          <w:rFonts w:ascii="Times New Roman" w:eastAsia="Times New Roman" w:hAnsi="Times New Roman" w:cs="Times New Roman"/>
        </w:rPr>
        <w:fldChar w:fldCharType="end"/>
      </w:r>
      <w:bookmarkEnd w:id="1"/>
      <w:r w:rsidRPr="00144027">
        <w:rPr>
          <w:rFonts w:ascii="Times New Roman" w:eastAsia="Times New Roman" w:hAnsi="Times New Roman" w:cs="Times New Roman"/>
        </w:rPr>
        <w:t xml:space="preserve">has administered retirement, </w:t>
      </w:r>
      <w:r w:rsidRPr="00144027">
        <w:rPr>
          <w:rFonts w:ascii="Times New Roman" w:eastAsia="Times New Roman" w:hAnsi="Times New Roman" w:cs="Times New Roman"/>
          <w:color w:val="005500"/>
          <w:sz w:val="20"/>
          <w:szCs w:val="20"/>
        </w:rPr>
        <w:t xml:space="preserve">[435 U.S. 702, 705]   </w:t>
      </w:r>
      <w:r w:rsidRPr="00144027">
        <w:rPr>
          <w:rFonts w:ascii="Times New Roman" w:eastAsia="Times New Roman" w:hAnsi="Times New Roman" w:cs="Times New Roman"/>
        </w:rPr>
        <w:t xml:space="preserve">disability, and death-benefit programs for its employees. Upon retirement each employee is eligible for a monthly retirement benefit computed as a fraction of his or her salary multiplied by years of service. </w:t>
      </w:r>
      <w:bookmarkStart w:id="2" w:name="t3"/>
      <w:r w:rsidRPr="00144027">
        <w:rPr>
          <w:rFonts w:ascii="Times New Roman" w:eastAsia="Times New Roman" w:hAnsi="Times New Roman" w:cs="Times New Roman"/>
        </w:rPr>
        <w:fldChar w:fldCharType="begin"/>
      </w:r>
      <w:r w:rsidRPr="00144027">
        <w:rPr>
          <w:rFonts w:ascii="Times New Roman" w:eastAsia="Times New Roman" w:hAnsi="Times New Roman" w:cs="Times New Roman"/>
        </w:rPr>
        <w:instrText xml:space="preserve"> HYPERLINK "https://caselaw.findlaw.com/us-supreme-court/435/702.html" \l "f3" </w:instrText>
      </w:r>
      <w:r w:rsidRPr="00144027">
        <w:rPr>
          <w:rFonts w:ascii="Times New Roman" w:eastAsia="Times New Roman" w:hAnsi="Times New Roman" w:cs="Times New Roman"/>
        </w:rPr>
        <w:fldChar w:fldCharType="separate"/>
      </w:r>
      <w:r w:rsidRPr="00144027">
        <w:rPr>
          <w:rFonts w:ascii="Times New Roman" w:eastAsia="Times New Roman" w:hAnsi="Times New Roman" w:cs="Times New Roman"/>
          <w:color w:val="0000FF"/>
          <w:u w:val="single"/>
        </w:rPr>
        <w:t xml:space="preserve">3 </w:t>
      </w:r>
      <w:r w:rsidRPr="00144027">
        <w:rPr>
          <w:rFonts w:ascii="Times New Roman" w:eastAsia="Times New Roman" w:hAnsi="Times New Roman" w:cs="Times New Roman"/>
        </w:rPr>
        <w:fldChar w:fldCharType="end"/>
      </w:r>
      <w:bookmarkEnd w:id="2"/>
      <w:r w:rsidRPr="00144027">
        <w:rPr>
          <w:rFonts w:ascii="Times New Roman" w:eastAsia="Times New Roman" w:hAnsi="Times New Roman" w:cs="Times New Roman"/>
        </w:rPr>
        <w:t xml:space="preserve">The monthly benefits for men and women of the same age, seniority, and salary are equal. Benefits are funded entirely by contributions from the employees and the Department, augmented by the income earned on those contributions. No private insurance company is involved in the administration or payment of benefits. </w:t>
      </w:r>
    </w:p>
    <w:p w14:paraId="342A08AB" w14:textId="77777777" w:rsidR="00144027" w:rsidRPr="00144027" w:rsidRDefault="00144027" w:rsidP="00144027">
      <w:pPr>
        <w:spacing w:before="100" w:beforeAutospacing="1" w:after="100" w:afterAutospacing="1" w:line="240" w:lineRule="auto"/>
        <w:rPr>
          <w:rFonts w:ascii="Times New Roman" w:eastAsia="Times New Roman" w:hAnsi="Times New Roman" w:cs="Times New Roman"/>
        </w:rPr>
      </w:pPr>
      <w:r w:rsidRPr="00144027">
        <w:rPr>
          <w:rFonts w:ascii="Times New Roman" w:eastAsia="Times New Roman" w:hAnsi="Times New Roman" w:cs="Times New Roman"/>
        </w:rPr>
        <w:t xml:space="preserve">Based on a study of mortality tables and its own experience, the Department determined that its 2,000 female employees, on the average, will live a few years longer than its 10,000 male employees. The cost of a pension for the average retired female is greater than for the average male retiree because more monthly payments must be made to the average woman. The Department therefore required female employees to make monthly contributions to the fund which were 14.84% higher than the contributions required of comparable male employees. </w:t>
      </w:r>
      <w:bookmarkStart w:id="3" w:name="t4"/>
      <w:r w:rsidRPr="00144027">
        <w:rPr>
          <w:rFonts w:ascii="Times New Roman" w:eastAsia="Times New Roman" w:hAnsi="Times New Roman" w:cs="Times New Roman"/>
        </w:rPr>
        <w:fldChar w:fldCharType="begin"/>
      </w:r>
      <w:r w:rsidRPr="00144027">
        <w:rPr>
          <w:rFonts w:ascii="Times New Roman" w:eastAsia="Times New Roman" w:hAnsi="Times New Roman" w:cs="Times New Roman"/>
        </w:rPr>
        <w:instrText xml:space="preserve"> HYPERLINK "https://caselaw.findlaw.com/us-supreme-court/435/702.html" \l "f4" </w:instrText>
      </w:r>
      <w:r w:rsidRPr="00144027">
        <w:rPr>
          <w:rFonts w:ascii="Times New Roman" w:eastAsia="Times New Roman" w:hAnsi="Times New Roman" w:cs="Times New Roman"/>
        </w:rPr>
        <w:fldChar w:fldCharType="separate"/>
      </w:r>
      <w:r w:rsidRPr="00144027">
        <w:rPr>
          <w:rFonts w:ascii="Times New Roman" w:eastAsia="Times New Roman" w:hAnsi="Times New Roman" w:cs="Times New Roman"/>
          <w:color w:val="0000FF"/>
          <w:u w:val="single"/>
        </w:rPr>
        <w:t xml:space="preserve">4 </w:t>
      </w:r>
      <w:r w:rsidRPr="00144027">
        <w:rPr>
          <w:rFonts w:ascii="Times New Roman" w:eastAsia="Times New Roman" w:hAnsi="Times New Roman" w:cs="Times New Roman"/>
        </w:rPr>
        <w:fldChar w:fldCharType="end"/>
      </w:r>
      <w:bookmarkEnd w:id="3"/>
      <w:r w:rsidRPr="00144027">
        <w:rPr>
          <w:rFonts w:ascii="Times New Roman" w:eastAsia="Times New Roman" w:hAnsi="Times New Roman" w:cs="Times New Roman"/>
        </w:rPr>
        <w:t xml:space="preserve">Because employee contributions were withheld from paychecks, a female employee took home less pay than a male employee earning the same salary. </w:t>
      </w:r>
      <w:bookmarkStart w:id="4" w:name="t5"/>
      <w:r w:rsidRPr="00144027">
        <w:rPr>
          <w:rFonts w:ascii="Times New Roman" w:eastAsia="Times New Roman" w:hAnsi="Times New Roman" w:cs="Times New Roman"/>
        </w:rPr>
        <w:fldChar w:fldCharType="begin"/>
      </w:r>
      <w:r w:rsidRPr="00144027">
        <w:rPr>
          <w:rFonts w:ascii="Times New Roman" w:eastAsia="Times New Roman" w:hAnsi="Times New Roman" w:cs="Times New Roman"/>
        </w:rPr>
        <w:instrText xml:space="preserve"> HYPERLINK "https://caselaw.findlaw.com/us-supreme-court/435/702.html" \l "f5" </w:instrText>
      </w:r>
      <w:r w:rsidRPr="00144027">
        <w:rPr>
          <w:rFonts w:ascii="Times New Roman" w:eastAsia="Times New Roman" w:hAnsi="Times New Roman" w:cs="Times New Roman"/>
        </w:rPr>
        <w:fldChar w:fldCharType="separate"/>
      </w:r>
      <w:r w:rsidRPr="00144027">
        <w:rPr>
          <w:rFonts w:ascii="Times New Roman" w:eastAsia="Times New Roman" w:hAnsi="Times New Roman" w:cs="Times New Roman"/>
          <w:color w:val="0000FF"/>
          <w:u w:val="single"/>
        </w:rPr>
        <w:t xml:space="preserve">5 </w:t>
      </w:r>
      <w:r w:rsidRPr="00144027">
        <w:rPr>
          <w:rFonts w:ascii="Times New Roman" w:eastAsia="Times New Roman" w:hAnsi="Times New Roman" w:cs="Times New Roman"/>
        </w:rPr>
        <w:fldChar w:fldCharType="end"/>
      </w:r>
      <w:bookmarkEnd w:id="4"/>
      <w:r w:rsidRPr="00144027">
        <w:rPr>
          <w:rFonts w:ascii="Times New Roman" w:eastAsia="Times New Roman" w:hAnsi="Times New Roman" w:cs="Times New Roman"/>
        </w:rPr>
        <w:t xml:space="preserve">  </w:t>
      </w:r>
    </w:p>
    <w:p w14:paraId="4B9B5FDD" w14:textId="77777777" w:rsidR="00144027" w:rsidRPr="00144027" w:rsidRDefault="00144027" w:rsidP="00144027">
      <w:pPr>
        <w:spacing w:before="100" w:beforeAutospacing="1" w:after="100" w:afterAutospacing="1" w:line="240" w:lineRule="auto"/>
        <w:rPr>
          <w:rFonts w:ascii="Times New Roman" w:eastAsia="Times New Roman" w:hAnsi="Times New Roman" w:cs="Times New Roman"/>
        </w:rPr>
      </w:pPr>
      <w:r w:rsidRPr="00144027">
        <w:rPr>
          <w:rFonts w:ascii="Times New Roman" w:eastAsia="Times New Roman" w:hAnsi="Times New Roman" w:cs="Times New Roman"/>
        </w:rPr>
        <w:t xml:space="preserve">Since the effective date of the Equal Employment Opportunity </w:t>
      </w:r>
      <w:bookmarkStart w:id="5" w:name="706"/>
      <w:r w:rsidRPr="00144027">
        <w:rPr>
          <w:rFonts w:ascii="Times New Roman" w:eastAsia="Times New Roman" w:hAnsi="Times New Roman" w:cs="Times New Roman"/>
          <w:color w:val="005500"/>
          <w:sz w:val="20"/>
          <w:szCs w:val="20"/>
        </w:rPr>
        <w:t xml:space="preserve">[435 U.S. 702, 706] </w:t>
      </w:r>
      <w:bookmarkEnd w:id="5"/>
      <w:r w:rsidRPr="00144027">
        <w:rPr>
          <w:rFonts w:ascii="Times New Roman" w:eastAsia="Times New Roman" w:hAnsi="Times New Roman" w:cs="Times New Roman"/>
          <w:color w:val="005500"/>
          <w:sz w:val="20"/>
          <w:szCs w:val="20"/>
        </w:rPr>
        <w:t xml:space="preserve">  </w:t>
      </w:r>
      <w:r w:rsidRPr="00144027">
        <w:rPr>
          <w:rFonts w:ascii="Times New Roman" w:eastAsia="Times New Roman" w:hAnsi="Times New Roman" w:cs="Times New Roman"/>
        </w:rPr>
        <w:t xml:space="preserve">Act of 1972, </w:t>
      </w:r>
      <w:bookmarkStart w:id="6" w:name="t6"/>
      <w:r w:rsidRPr="00144027">
        <w:rPr>
          <w:rFonts w:ascii="Times New Roman" w:eastAsia="Times New Roman" w:hAnsi="Times New Roman" w:cs="Times New Roman"/>
        </w:rPr>
        <w:fldChar w:fldCharType="begin"/>
      </w:r>
      <w:r w:rsidRPr="00144027">
        <w:rPr>
          <w:rFonts w:ascii="Times New Roman" w:eastAsia="Times New Roman" w:hAnsi="Times New Roman" w:cs="Times New Roman"/>
        </w:rPr>
        <w:instrText xml:space="preserve"> HYPERLINK "https://caselaw.findlaw.com/us-supreme-court/435/702.html" \l "f6" </w:instrText>
      </w:r>
      <w:r w:rsidRPr="00144027">
        <w:rPr>
          <w:rFonts w:ascii="Times New Roman" w:eastAsia="Times New Roman" w:hAnsi="Times New Roman" w:cs="Times New Roman"/>
        </w:rPr>
        <w:fldChar w:fldCharType="separate"/>
      </w:r>
      <w:r w:rsidRPr="00144027">
        <w:rPr>
          <w:rFonts w:ascii="Times New Roman" w:eastAsia="Times New Roman" w:hAnsi="Times New Roman" w:cs="Times New Roman"/>
          <w:color w:val="0000FF"/>
          <w:u w:val="single"/>
        </w:rPr>
        <w:t xml:space="preserve">6 </w:t>
      </w:r>
      <w:r w:rsidRPr="00144027">
        <w:rPr>
          <w:rFonts w:ascii="Times New Roman" w:eastAsia="Times New Roman" w:hAnsi="Times New Roman" w:cs="Times New Roman"/>
        </w:rPr>
        <w:fldChar w:fldCharType="end"/>
      </w:r>
      <w:bookmarkEnd w:id="6"/>
      <w:r w:rsidRPr="00144027">
        <w:rPr>
          <w:rFonts w:ascii="Times New Roman" w:eastAsia="Times New Roman" w:hAnsi="Times New Roman" w:cs="Times New Roman"/>
        </w:rPr>
        <w:t xml:space="preserve">the Department has been an employer within the meaning of Title VII of the Civil Rights Act of 1964. See 42 U.S.C. </w:t>
      </w:r>
      <w:proofErr w:type="spellStart"/>
      <w:r w:rsidRPr="00144027">
        <w:rPr>
          <w:rFonts w:ascii="Times New Roman" w:eastAsia="Times New Roman" w:hAnsi="Times New Roman" w:cs="Times New Roman"/>
        </w:rPr>
        <w:t>2000e</w:t>
      </w:r>
      <w:proofErr w:type="spellEnd"/>
      <w:r w:rsidRPr="00144027">
        <w:rPr>
          <w:rFonts w:ascii="Times New Roman" w:eastAsia="Times New Roman" w:hAnsi="Times New Roman" w:cs="Times New Roman"/>
        </w:rPr>
        <w:t xml:space="preserve"> (1970 ed., Supp. V). In 1973, respondents </w:t>
      </w:r>
      <w:bookmarkStart w:id="7" w:name="t7"/>
      <w:r w:rsidRPr="00144027">
        <w:rPr>
          <w:rFonts w:ascii="Times New Roman" w:eastAsia="Times New Roman" w:hAnsi="Times New Roman" w:cs="Times New Roman"/>
        </w:rPr>
        <w:fldChar w:fldCharType="begin"/>
      </w:r>
      <w:r w:rsidRPr="00144027">
        <w:rPr>
          <w:rFonts w:ascii="Times New Roman" w:eastAsia="Times New Roman" w:hAnsi="Times New Roman" w:cs="Times New Roman"/>
        </w:rPr>
        <w:instrText xml:space="preserve"> HYPERLINK "https://caselaw.findlaw.com/us-supreme-court/435/702.html" \l "f7" </w:instrText>
      </w:r>
      <w:r w:rsidRPr="00144027">
        <w:rPr>
          <w:rFonts w:ascii="Times New Roman" w:eastAsia="Times New Roman" w:hAnsi="Times New Roman" w:cs="Times New Roman"/>
        </w:rPr>
        <w:fldChar w:fldCharType="separate"/>
      </w:r>
      <w:r w:rsidRPr="00144027">
        <w:rPr>
          <w:rFonts w:ascii="Times New Roman" w:eastAsia="Times New Roman" w:hAnsi="Times New Roman" w:cs="Times New Roman"/>
          <w:color w:val="0000FF"/>
          <w:u w:val="single"/>
        </w:rPr>
        <w:t xml:space="preserve">7 </w:t>
      </w:r>
      <w:r w:rsidRPr="00144027">
        <w:rPr>
          <w:rFonts w:ascii="Times New Roman" w:eastAsia="Times New Roman" w:hAnsi="Times New Roman" w:cs="Times New Roman"/>
        </w:rPr>
        <w:fldChar w:fldCharType="end"/>
      </w:r>
      <w:bookmarkEnd w:id="7"/>
      <w:r w:rsidRPr="00144027">
        <w:rPr>
          <w:rFonts w:ascii="Times New Roman" w:eastAsia="Times New Roman" w:hAnsi="Times New Roman" w:cs="Times New Roman"/>
        </w:rPr>
        <w:t xml:space="preserve">brought this suit in the United States District Court for the Central District of California on behalf of a class of women employed or formerly employed by the Department. They prayed for an injunction and restitution of excess contributions. </w:t>
      </w:r>
    </w:p>
    <w:p w14:paraId="22B96FAA" w14:textId="77777777" w:rsidR="00144027" w:rsidRPr="00144027" w:rsidRDefault="00144027" w:rsidP="00144027">
      <w:pPr>
        <w:spacing w:before="100" w:beforeAutospacing="1" w:after="100" w:afterAutospacing="1" w:line="240" w:lineRule="auto"/>
        <w:rPr>
          <w:rFonts w:ascii="Times New Roman" w:eastAsia="Times New Roman" w:hAnsi="Times New Roman" w:cs="Times New Roman"/>
        </w:rPr>
      </w:pPr>
      <w:r w:rsidRPr="00144027">
        <w:rPr>
          <w:rFonts w:ascii="Times New Roman" w:eastAsia="Times New Roman" w:hAnsi="Times New Roman" w:cs="Times New Roman"/>
        </w:rPr>
        <w:lastRenderedPageBreak/>
        <w:t xml:space="preserve">While this action was pending, the California Legislature enacted a law prohibiting certain municipal agencies from requiring female employees to make higher pension fund contributions than males. </w:t>
      </w:r>
      <w:bookmarkStart w:id="8" w:name="t8"/>
      <w:r w:rsidRPr="00144027">
        <w:rPr>
          <w:rFonts w:ascii="Times New Roman" w:eastAsia="Times New Roman" w:hAnsi="Times New Roman" w:cs="Times New Roman"/>
        </w:rPr>
        <w:fldChar w:fldCharType="begin"/>
      </w:r>
      <w:r w:rsidRPr="00144027">
        <w:rPr>
          <w:rFonts w:ascii="Times New Roman" w:eastAsia="Times New Roman" w:hAnsi="Times New Roman" w:cs="Times New Roman"/>
        </w:rPr>
        <w:instrText xml:space="preserve"> HYPERLINK "https://caselaw.findlaw.com/us-supreme-court/435/702.html" \l "f8" </w:instrText>
      </w:r>
      <w:r w:rsidRPr="00144027">
        <w:rPr>
          <w:rFonts w:ascii="Times New Roman" w:eastAsia="Times New Roman" w:hAnsi="Times New Roman" w:cs="Times New Roman"/>
        </w:rPr>
        <w:fldChar w:fldCharType="separate"/>
      </w:r>
      <w:r w:rsidRPr="00144027">
        <w:rPr>
          <w:rFonts w:ascii="Times New Roman" w:eastAsia="Times New Roman" w:hAnsi="Times New Roman" w:cs="Times New Roman"/>
          <w:color w:val="0000FF"/>
          <w:u w:val="single"/>
        </w:rPr>
        <w:t xml:space="preserve">8 </w:t>
      </w:r>
      <w:r w:rsidRPr="00144027">
        <w:rPr>
          <w:rFonts w:ascii="Times New Roman" w:eastAsia="Times New Roman" w:hAnsi="Times New Roman" w:cs="Times New Roman"/>
        </w:rPr>
        <w:fldChar w:fldCharType="end"/>
      </w:r>
      <w:bookmarkEnd w:id="8"/>
      <w:r w:rsidRPr="00144027">
        <w:rPr>
          <w:rFonts w:ascii="Times New Roman" w:eastAsia="Times New Roman" w:hAnsi="Times New Roman" w:cs="Times New Roman"/>
        </w:rPr>
        <w:t xml:space="preserve">The Department therefore amended its plan, effective January 1, 1975. The current plan draws no distinction, either in contributions or in benefits, </w:t>
      </w:r>
      <w:proofErr w:type="gramStart"/>
      <w:r w:rsidRPr="00144027">
        <w:rPr>
          <w:rFonts w:ascii="Times New Roman" w:eastAsia="Times New Roman" w:hAnsi="Times New Roman" w:cs="Times New Roman"/>
        </w:rPr>
        <w:t>on the basis of</w:t>
      </w:r>
      <w:proofErr w:type="gramEnd"/>
      <w:r w:rsidRPr="00144027">
        <w:rPr>
          <w:rFonts w:ascii="Times New Roman" w:eastAsia="Times New Roman" w:hAnsi="Times New Roman" w:cs="Times New Roman"/>
        </w:rPr>
        <w:t xml:space="preserve"> sex. On a motion for summary judgment, the District Court held that the contribution differential violated 703 (a) (1) and ordered a refund of all excess contributions made before the amendment of the plan. </w:t>
      </w:r>
      <w:bookmarkStart w:id="9" w:name="t9"/>
      <w:r w:rsidRPr="00144027">
        <w:rPr>
          <w:rFonts w:ascii="Times New Roman" w:eastAsia="Times New Roman" w:hAnsi="Times New Roman" w:cs="Times New Roman"/>
        </w:rPr>
        <w:fldChar w:fldCharType="begin"/>
      </w:r>
      <w:r w:rsidRPr="00144027">
        <w:rPr>
          <w:rFonts w:ascii="Times New Roman" w:eastAsia="Times New Roman" w:hAnsi="Times New Roman" w:cs="Times New Roman"/>
        </w:rPr>
        <w:instrText xml:space="preserve"> HYPERLINK "https://caselaw.findlaw.com/us-supreme-court/435/702.html" \l "f9" </w:instrText>
      </w:r>
      <w:r w:rsidRPr="00144027">
        <w:rPr>
          <w:rFonts w:ascii="Times New Roman" w:eastAsia="Times New Roman" w:hAnsi="Times New Roman" w:cs="Times New Roman"/>
        </w:rPr>
        <w:fldChar w:fldCharType="separate"/>
      </w:r>
      <w:r w:rsidRPr="00144027">
        <w:rPr>
          <w:rFonts w:ascii="Times New Roman" w:eastAsia="Times New Roman" w:hAnsi="Times New Roman" w:cs="Times New Roman"/>
          <w:color w:val="0000FF"/>
          <w:u w:val="single"/>
        </w:rPr>
        <w:t xml:space="preserve">9 </w:t>
      </w:r>
      <w:r w:rsidRPr="00144027">
        <w:rPr>
          <w:rFonts w:ascii="Times New Roman" w:eastAsia="Times New Roman" w:hAnsi="Times New Roman" w:cs="Times New Roman"/>
        </w:rPr>
        <w:fldChar w:fldCharType="end"/>
      </w:r>
      <w:bookmarkEnd w:id="9"/>
      <w:r w:rsidRPr="00144027">
        <w:rPr>
          <w:rFonts w:ascii="Times New Roman" w:eastAsia="Times New Roman" w:hAnsi="Times New Roman" w:cs="Times New Roman"/>
        </w:rPr>
        <w:t xml:space="preserve">The United States Court of Appeals for the Ninth Circuit affirmed. </w:t>
      </w:r>
      <w:bookmarkStart w:id="10" w:name="t10"/>
      <w:r w:rsidRPr="00144027">
        <w:rPr>
          <w:rFonts w:ascii="Times New Roman" w:eastAsia="Times New Roman" w:hAnsi="Times New Roman" w:cs="Times New Roman"/>
        </w:rPr>
        <w:fldChar w:fldCharType="begin"/>
      </w:r>
      <w:r w:rsidRPr="00144027">
        <w:rPr>
          <w:rFonts w:ascii="Times New Roman" w:eastAsia="Times New Roman" w:hAnsi="Times New Roman" w:cs="Times New Roman"/>
        </w:rPr>
        <w:instrText xml:space="preserve"> HYPERLINK "https://caselaw.findlaw.com/us-supreme-court/435/702.html" \l "f10" </w:instrText>
      </w:r>
      <w:r w:rsidRPr="00144027">
        <w:rPr>
          <w:rFonts w:ascii="Times New Roman" w:eastAsia="Times New Roman" w:hAnsi="Times New Roman" w:cs="Times New Roman"/>
        </w:rPr>
        <w:fldChar w:fldCharType="separate"/>
      </w:r>
      <w:r w:rsidRPr="00144027">
        <w:rPr>
          <w:rFonts w:ascii="Times New Roman" w:eastAsia="Times New Roman" w:hAnsi="Times New Roman" w:cs="Times New Roman"/>
          <w:color w:val="0000FF"/>
          <w:u w:val="single"/>
        </w:rPr>
        <w:t xml:space="preserve">10 </w:t>
      </w:r>
      <w:r w:rsidRPr="00144027">
        <w:rPr>
          <w:rFonts w:ascii="Times New Roman" w:eastAsia="Times New Roman" w:hAnsi="Times New Roman" w:cs="Times New Roman"/>
        </w:rPr>
        <w:fldChar w:fldCharType="end"/>
      </w:r>
      <w:bookmarkEnd w:id="10"/>
      <w:r w:rsidRPr="00144027">
        <w:rPr>
          <w:rFonts w:ascii="Times New Roman" w:eastAsia="Times New Roman" w:hAnsi="Times New Roman" w:cs="Times New Roman"/>
        </w:rPr>
        <w:t xml:space="preserve">  </w:t>
      </w:r>
    </w:p>
    <w:p w14:paraId="3EFD8016" w14:textId="77777777" w:rsidR="00144027" w:rsidRPr="00144027" w:rsidRDefault="00144027" w:rsidP="00144027">
      <w:pPr>
        <w:spacing w:before="100" w:beforeAutospacing="1" w:after="100" w:afterAutospacing="1" w:line="240" w:lineRule="auto"/>
        <w:rPr>
          <w:rFonts w:ascii="Times New Roman" w:eastAsia="Times New Roman" w:hAnsi="Times New Roman" w:cs="Times New Roman"/>
        </w:rPr>
      </w:pPr>
      <w:r w:rsidRPr="00144027">
        <w:rPr>
          <w:rFonts w:ascii="Times New Roman" w:eastAsia="Times New Roman" w:hAnsi="Times New Roman" w:cs="Times New Roman"/>
        </w:rPr>
        <w:t xml:space="preserve">The Department and various amici curiae contend that: (1) the differential in take-home pay between men and women was not discrimination within the meaning of 703 (a) (1) because it was offset by a difference in the value of the pension benefits provided to the two classes of employees; (2) the differential was based on a factor "other than sex" </w:t>
      </w:r>
      <w:bookmarkStart w:id="11" w:name="707"/>
      <w:r w:rsidRPr="00144027">
        <w:rPr>
          <w:rFonts w:ascii="Times New Roman" w:eastAsia="Times New Roman" w:hAnsi="Times New Roman" w:cs="Times New Roman"/>
          <w:color w:val="005500"/>
          <w:sz w:val="20"/>
          <w:szCs w:val="20"/>
        </w:rPr>
        <w:t xml:space="preserve">[435 U.S. 702, 707] </w:t>
      </w:r>
      <w:bookmarkEnd w:id="11"/>
      <w:r w:rsidRPr="00144027">
        <w:rPr>
          <w:rFonts w:ascii="Times New Roman" w:eastAsia="Times New Roman" w:hAnsi="Times New Roman" w:cs="Times New Roman"/>
          <w:color w:val="005500"/>
          <w:sz w:val="20"/>
          <w:szCs w:val="20"/>
        </w:rPr>
        <w:t xml:space="preserve">  </w:t>
      </w:r>
      <w:r w:rsidRPr="00144027">
        <w:rPr>
          <w:rFonts w:ascii="Times New Roman" w:eastAsia="Times New Roman" w:hAnsi="Times New Roman" w:cs="Times New Roman"/>
        </w:rPr>
        <w:t xml:space="preserve">within the meaning of the Equal Pay Act of 1963 and was therefore protected by the so-called Bennett Amendment; </w:t>
      </w:r>
      <w:bookmarkStart w:id="12" w:name="t11"/>
      <w:r w:rsidRPr="00144027">
        <w:rPr>
          <w:rFonts w:ascii="Times New Roman" w:eastAsia="Times New Roman" w:hAnsi="Times New Roman" w:cs="Times New Roman"/>
        </w:rPr>
        <w:fldChar w:fldCharType="begin"/>
      </w:r>
      <w:r w:rsidRPr="00144027">
        <w:rPr>
          <w:rFonts w:ascii="Times New Roman" w:eastAsia="Times New Roman" w:hAnsi="Times New Roman" w:cs="Times New Roman"/>
        </w:rPr>
        <w:instrText xml:space="preserve"> HYPERLINK "https://caselaw.findlaw.com/us-supreme-court/435/702.html" \l "f11" </w:instrText>
      </w:r>
      <w:r w:rsidRPr="00144027">
        <w:rPr>
          <w:rFonts w:ascii="Times New Roman" w:eastAsia="Times New Roman" w:hAnsi="Times New Roman" w:cs="Times New Roman"/>
        </w:rPr>
        <w:fldChar w:fldCharType="separate"/>
      </w:r>
      <w:r w:rsidRPr="00144027">
        <w:rPr>
          <w:rFonts w:ascii="Times New Roman" w:eastAsia="Times New Roman" w:hAnsi="Times New Roman" w:cs="Times New Roman"/>
          <w:color w:val="0000FF"/>
          <w:u w:val="single"/>
        </w:rPr>
        <w:t xml:space="preserve">11 </w:t>
      </w:r>
      <w:r w:rsidRPr="00144027">
        <w:rPr>
          <w:rFonts w:ascii="Times New Roman" w:eastAsia="Times New Roman" w:hAnsi="Times New Roman" w:cs="Times New Roman"/>
        </w:rPr>
        <w:fldChar w:fldCharType="end"/>
      </w:r>
      <w:bookmarkEnd w:id="12"/>
      <w:r w:rsidRPr="00144027">
        <w:rPr>
          <w:rFonts w:ascii="Times New Roman" w:eastAsia="Times New Roman" w:hAnsi="Times New Roman" w:cs="Times New Roman"/>
        </w:rPr>
        <w:t xml:space="preserve">(3) the rationale of General Electric Co. v. Gilbert, </w:t>
      </w:r>
      <w:hyperlink r:id="rId7" w:history="1">
        <w:r w:rsidRPr="00144027">
          <w:rPr>
            <w:rFonts w:ascii="Times New Roman" w:eastAsia="Times New Roman" w:hAnsi="Times New Roman" w:cs="Times New Roman"/>
            <w:color w:val="0000FF"/>
            <w:u w:val="single"/>
          </w:rPr>
          <w:t xml:space="preserve">429 U.S. 125 </w:t>
        </w:r>
      </w:hyperlink>
      <w:r w:rsidRPr="00144027">
        <w:rPr>
          <w:rFonts w:ascii="Times New Roman" w:eastAsia="Times New Roman" w:hAnsi="Times New Roman" w:cs="Times New Roman"/>
        </w:rPr>
        <w:t xml:space="preserve">, requires reversal; and (4) in any event, the retroactive monetary recovery is unjustified. We consider these contentions in turn. </w:t>
      </w:r>
    </w:p>
    <w:p w14:paraId="1E278FBB" w14:textId="77777777" w:rsidR="00144027" w:rsidRPr="00144027" w:rsidRDefault="00144027" w:rsidP="00144027">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144027">
        <w:rPr>
          <w:rFonts w:ascii="Times New Roman" w:eastAsia="Times New Roman" w:hAnsi="Times New Roman" w:cs="Times New Roman"/>
          <w:b/>
          <w:bCs/>
          <w:sz w:val="27"/>
          <w:szCs w:val="27"/>
        </w:rPr>
        <w:t xml:space="preserve">I </w:t>
      </w:r>
    </w:p>
    <w:p w14:paraId="6EC1B433" w14:textId="77777777" w:rsidR="00144027" w:rsidRPr="00144027" w:rsidRDefault="00144027" w:rsidP="00144027">
      <w:pPr>
        <w:spacing w:before="100" w:beforeAutospacing="1" w:after="100" w:afterAutospacing="1" w:line="240" w:lineRule="auto"/>
        <w:rPr>
          <w:rFonts w:ascii="Times New Roman" w:eastAsia="Times New Roman" w:hAnsi="Times New Roman" w:cs="Times New Roman"/>
        </w:rPr>
      </w:pPr>
      <w:r w:rsidRPr="00144027">
        <w:rPr>
          <w:rFonts w:ascii="Times New Roman" w:eastAsia="Times New Roman" w:hAnsi="Times New Roman" w:cs="Times New Roman"/>
        </w:rPr>
        <w:t xml:space="preserve">There are both real and fictional differences between women and men. It is true that the average man is taller than the average woman; it is not true that the average woman driver is more accident prone than the average man. </w:t>
      </w:r>
      <w:bookmarkStart w:id="13" w:name="t12"/>
      <w:r w:rsidRPr="00144027">
        <w:rPr>
          <w:rFonts w:ascii="Times New Roman" w:eastAsia="Times New Roman" w:hAnsi="Times New Roman" w:cs="Times New Roman"/>
        </w:rPr>
        <w:fldChar w:fldCharType="begin"/>
      </w:r>
      <w:r w:rsidRPr="00144027">
        <w:rPr>
          <w:rFonts w:ascii="Times New Roman" w:eastAsia="Times New Roman" w:hAnsi="Times New Roman" w:cs="Times New Roman"/>
        </w:rPr>
        <w:instrText xml:space="preserve"> HYPERLINK "https://caselaw.findlaw.com/us-supreme-court/435/702.html" \l "f12" </w:instrText>
      </w:r>
      <w:r w:rsidRPr="00144027">
        <w:rPr>
          <w:rFonts w:ascii="Times New Roman" w:eastAsia="Times New Roman" w:hAnsi="Times New Roman" w:cs="Times New Roman"/>
        </w:rPr>
        <w:fldChar w:fldCharType="separate"/>
      </w:r>
      <w:r w:rsidRPr="00144027">
        <w:rPr>
          <w:rFonts w:ascii="Times New Roman" w:eastAsia="Times New Roman" w:hAnsi="Times New Roman" w:cs="Times New Roman"/>
          <w:color w:val="0000FF"/>
          <w:u w:val="single"/>
        </w:rPr>
        <w:t xml:space="preserve">12 </w:t>
      </w:r>
      <w:r w:rsidRPr="00144027">
        <w:rPr>
          <w:rFonts w:ascii="Times New Roman" w:eastAsia="Times New Roman" w:hAnsi="Times New Roman" w:cs="Times New Roman"/>
        </w:rPr>
        <w:fldChar w:fldCharType="end"/>
      </w:r>
      <w:bookmarkEnd w:id="13"/>
      <w:r w:rsidRPr="00144027">
        <w:rPr>
          <w:rFonts w:ascii="Times New Roman" w:eastAsia="Times New Roman" w:hAnsi="Times New Roman" w:cs="Times New Roman"/>
        </w:rPr>
        <w:t xml:space="preserve">Before the Civil Rights Act of 1964 was enacted, an employer could fashion his personnel policies </w:t>
      </w:r>
      <w:proofErr w:type="gramStart"/>
      <w:r w:rsidRPr="00144027">
        <w:rPr>
          <w:rFonts w:ascii="Times New Roman" w:eastAsia="Times New Roman" w:hAnsi="Times New Roman" w:cs="Times New Roman"/>
        </w:rPr>
        <w:t>on the basis of</w:t>
      </w:r>
      <w:proofErr w:type="gramEnd"/>
      <w:r w:rsidRPr="00144027">
        <w:rPr>
          <w:rFonts w:ascii="Times New Roman" w:eastAsia="Times New Roman" w:hAnsi="Times New Roman" w:cs="Times New Roman"/>
        </w:rPr>
        <w:t xml:space="preserve"> assumptions about the differences between men and women, whether or not the assumptions were valid. </w:t>
      </w:r>
    </w:p>
    <w:p w14:paraId="182AFC5F" w14:textId="77777777" w:rsidR="00144027" w:rsidRPr="00144027" w:rsidRDefault="00144027" w:rsidP="00144027">
      <w:pPr>
        <w:spacing w:before="100" w:beforeAutospacing="1" w:after="100" w:afterAutospacing="1" w:line="240" w:lineRule="auto"/>
        <w:rPr>
          <w:rFonts w:ascii="Times New Roman" w:eastAsia="Times New Roman" w:hAnsi="Times New Roman" w:cs="Times New Roman"/>
        </w:rPr>
      </w:pPr>
      <w:r w:rsidRPr="00144027">
        <w:rPr>
          <w:rFonts w:ascii="Times New Roman" w:eastAsia="Times New Roman" w:hAnsi="Times New Roman" w:cs="Times New Roman"/>
        </w:rPr>
        <w:t xml:space="preserve">It is now well recognized that employment decisions cannot be predicated on mere "stereotyped" impressions about the characteristics of males or females. </w:t>
      </w:r>
      <w:bookmarkStart w:id="14" w:name="t13"/>
      <w:r w:rsidRPr="00144027">
        <w:rPr>
          <w:rFonts w:ascii="Times New Roman" w:eastAsia="Times New Roman" w:hAnsi="Times New Roman" w:cs="Times New Roman"/>
        </w:rPr>
        <w:fldChar w:fldCharType="begin"/>
      </w:r>
      <w:r w:rsidRPr="00144027">
        <w:rPr>
          <w:rFonts w:ascii="Times New Roman" w:eastAsia="Times New Roman" w:hAnsi="Times New Roman" w:cs="Times New Roman"/>
        </w:rPr>
        <w:instrText xml:space="preserve"> HYPERLINK "https://caselaw.findlaw.com/us-supreme-court/435/702.html" \l "f13" </w:instrText>
      </w:r>
      <w:r w:rsidRPr="00144027">
        <w:rPr>
          <w:rFonts w:ascii="Times New Roman" w:eastAsia="Times New Roman" w:hAnsi="Times New Roman" w:cs="Times New Roman"/>
        </w:rPr>
        <w:fldChar w:fldCharType="separate"/>
      </w:r>
      <w:r w:rsidRPr="00144027">
        <w:rPr>
          <w:rFonts w:ascii="Times New Roman" w:eastAsia="Times New Roman" w:hAnsi="Times New Roman" w:cs="Times New Roman"/>
          <w:color w:val="0000FF"/>
          <w:u w:val="single"/>
        </w:rPr>
        <w:t xml:space="preserve">13 </w:t>
      </w:r>
      <w:r w:rsidRPr="00144027">
        <w:rPr>
          <w:rFonts w:ascii="Times New Roman" w:eastAsia="Times New Roman" w:hAnsi="Times New Roman" w:cs="Times New Roman"/>
        </w:rPr>
        <w:fldChar w:fldCharType="end"/>
      </w:r>
      <w:bookmarkEnd w:id="14"/>
      <w:r w:rsidRPr="00144027">
        <w:rPr>
          <w:rFonts w:ascii="Times New Roman" w:eastAsia="Times New Roman" w:hAnsi="Times New Roman" w:cs="Times New Roman"/>
        </w:rPr>
        <w:t xml:space="preserve">Myths and purely habitual assumptions about a woman's inability to perform certain kinds of work are no longer acceptable reasons for refusing to employ qualified individuals, or for paying them less. This case does not, however, involve a fictional difference between men and women. It involves a generalization that the parties accept as unquestionably true: Women, as a class, do live longer than men. The Department treated its women employees differently from its men employees because the two </w:t>
      </w:r>
      <w:bookmarkStart w:id="15" w:name="708"/>
      <w:r w:rsidRPr="00144027">
        <w:rPr>
          <w:rFonts w:ascii="Times New Roman" w:eastAsia="Times New Roman" w:hAnsi="Times New Roman" w:cs="Times New Roman"/>
          <w:color w:val="005500"/>
          <w:sz w:val="20"/>
          <w:szCs w:val="20"/>
        </w:rPr>
        <w:t xml:space="preserve">[435 U.S. 702, 708] </w:t>
      </w:r>
      <w:bookmarkEnd w:id="15"/>
      <w:r w:rsidRPr="00144027">
        <w:rPr>
          <w:rFonts w:ascii="Times New Roman" w:eastAsia="Times New Roman" w:hAnsi="Times New Roman" w:cs="Times New Roman"/>
          <w:color w:val="005500"/>
          <w:sz w:val="20"/>
          <w:szCs w:val="20"/>
        </w:rPr>
        <w:t xml:space="preserve">  </w:t>
      </w:r>
      <w:r w:rsidRPr="00144027">
        <w:rPr>
          <w:rFonts w:ascii="Times New Roman" w:eastAsia="Times New Roman" w:hAnsi="Times New Roman" w:cs="Times New Roman"/>
        </w:rPr>
        <w:t xml:space="preserve">classes are in fact different. It is equally true, however, that all individuals in the respective classes do not share the characteristic that differentiates the average class representatives. Many women do not live </w:t>
      </w:r>
      <w:proofErr w:type="gramStart"/>
      <w:r w:rsidRPr="00144027">
        <w:rPr>
          <w:rFonts w:ascii="Times New Roman" w:eastAsia="Times New Roman" w:hAnsi="Times New Roman" w:cs="Times New Roman"/>
        </w:rPr>
        <w:t>as long as</w:t>
      </w:r>
      <w:proofErr w:type="gramEnd"/>
      <w:r w:rsidRPr="00144027">
        <w:rPr>
          <w:rFonts w:ascii="Times New Roman" w:eastAsia="Times New Roman" w:hAnsi="Times New Roman" w:cs="Times New Roman"/>
        </w:rPr>
        <w:t xml:space="preserve"> the average man and many men outlive the average woman. The question, therefore, is whether the existence or nonexistence of "discrimination" is to be determined by comparison of class characteristics or individual characteristics. A "stereotyped" answer to that question may not be the same as the answer that the language and purpose of the statute command. </w:t>
      </w:r>
    </w:p>
    <w:p w14:paraId="44207518" w14:textId="77777777" w:rsidR="00144027" w:rsidRPr="00144027" w:rsidRDefault="00144027" w:rsidP="00144027">
      <w:pPr>
        <w:spacing w:before="100" w:beforeAutospacing="1" w:after="100" w:afterAutospacing="1" w:line="240" w:lineRule="auto"/>
        <w:rPr>
          <w:rFonts w:ascii="Times New Roman" w:eastAsia="Times New Roman" w:hAnsi="Times New Roman" w:cs="Times New Roman"/>
        </w:rPr>
      </w:pPr>
      <w:r w:rsidRPr="00144027">
        <w:rPr>
          <w:rFonts w:ascii="Times New Roman" w:eastAsia="Times New Roman" w:hAnsi="Times New Roman" w:cs="Times New Roman"/>
        </w:rPr>
        <w:t xml:space="preserve">The statute makes it unlawful "to discriminate against any individual with respect to his compensation, terms, conditions, or privileges of employment, because of such individual's race, color, religion, sex, or national origin." 42 U.S.C. </w:t>
      </w:r>
      <w:proofErr w:type="spellStart"/>
      <w:r w:rsidRPr="00144027">
        <w:rPr>
          <w:rFonts w:ascii="Times New Roman" w:eastAsia="Times New Roman" w:hAnsi="Times New Roman" w:cs="Times New Roman"/>
        </w:rPr>
        <w:t>2000e</w:t>
      </w:r>
      <w:proofErr w:type="spellEnd"/>
      <w:r w:rsidRPr="00144027">
        <w:rPr>
          <w:rFonts w:ascii="Times New Roman" w:eastAsia="Times New Roman" w:hAnsi="Times New Roman" w:cs="Times New Roman"/>
        </w:rPr>
        <w:t xml:space="preserve">-2 (a) (1) (emphasis added). The statute's focus on the individual is unambiguous. It precludes treatment of individuals as simply components of a racial, religious, sexual, or national class. If height is required for a job, a tall woman may not be refused employment merely because, on the average, women are too short. </w:t>
      </w:r>
      <w:r w:rsidRPr="00144027">
        <w:rPr>
          <w:rFonts w:ascii="Times New Roman" w:eastAsia="Times New Roman" w:hAnsi="Times New Roman" w:cs="Times New Roman"/>
        </w:rPr>
        <w:lastRenderedPageBreak/>
        <w:t xml:space="preserve">Even a true generalization about the class is an insufficient reason for disqualifying an individual to whom the generalization does not apply. </w:t>
      </w:r>
    </w:p>
    <w:p w14:paraId="2C38F67B" w14:textId="77777777" w:rsidR="00144027" w:rsidRPr="00144027" w:rsidRDefault="00144027" w:rsidP="00144027">
      <w:pPr>
        <w:spacing w:before="100" w:beforeAutospacing="1" w:after="100" w:afterAutospacing="1" w:line="240" w:lineRule="auto"/>
        <w:rPr>
          <w:rFonts w:ascii="Times New Roman" w:eastAsia="Times New Roman" w:hAnsi="Times New Roman" w:cs="Times New Roman"/>
        </w:rPr>
      </w:pPr>
      <w:r w:rsidRPr="00144027">
        <w:rPr>
          <w:rFonts w:ascii="Times New Roman" w:eastAsia="Times New Roman" w:hAnsi="Times New Roman" w:cs="Times New Roman"/>
        </w:rPr>
        <w:t xml:space="preserve">That proposition is of critical importance in this case because there is no assurance that any individual woman working for the Department will </w:t>
      </w:r>
      <w:proofErr w:type="gramStart"/>
      <w:r w:rsidRPr="00144027">
        <w:rPr>
          <w:rFonts w:ascii="Times New Roman" w:eastAsia="Times New Roman" w:hAnsi="Times New Roman" w:cs="Times New Roman"/>
        </w:rPr>
        <w:t>actually fit</w:t>
      </w:r>
      <w:proofErr w:type="gramEnd"/>
      <w:r w:rsidRPr="00144027">
        <w:rPr>
          <w:rFonts w:ascii="Times New Roman" w:eastAsia="Times New Roman" w:hAnsi="Times New Roman" w:cs="Times New Roman"/>
        </w:rPr>
        <w:t xml:space="preserve"> the generalization on which the Department's policy is based. Many of those individuals will not live </w:t>
      </w:r>
      <w:proofErr w:type="gramStart"/>
      <w:r w:rsidRPr="00144027">
        <w:rPr>
          <w:rFonts w:ascii="Times New Roman" w:eastAsia="Times New Roman" w:hAnsi="Times New Roman" w:cs="Times New Roman"/>
        </w:rPr>
        <w:t>as long as</w:t>
      </w:r>
      <w:proofErr w:type="gramEnd"/>
      <w:r w:rsidRPr="00144027">
        <w:rPr>
          <w:rFonts w:ascii="Times New Roman" w:eastAsia="Times New Roman" w:hAnsi="Times New Roman" w:cs="Times New Roman"/>
        </w:rPr>
        <w:t xml:space="preserve"> the average man. While they were working, those individuals received smaller paychecks because of their sex, but they will receive no compensating advantage when they retire. </w:t>
      </w:r>
    </w:p>
    <w:p w14:paraId="2054A194" w14:textId="77777777" w:rsidR="00144027" w:rsidRPr="00144027" w:rsidRDefault="00144027" w:rsidP="00144027">
      <w:pPr>
        <w:spacing w:before="100" w:beforeAutospacing="1" w:after="100" w:afterAutospacing="1" w:line="240" w:lineRule="auto"/>
        <w:rPr>
          <w:rFonts w:ascii="Times New Roman" w:eastAsia="Times New Roman" w:hAnsi="Times New Roman" w:cs="Times New Roman"/>
        </w:rPr>
      </w:pPr>
      <w:r w:rsidRPr="00144027">
        <w:rPr>
          <w:rFonts w:ascii="Times New Roman" w:eastAsia="Times New Roman" w:hAnsi="Times New Roman" w:cs="Times New Roman"/>
        </w:rPr>
        <w:t xml:space="preserve">It is true, of course, that while contributions are being collected from the employees, the Department cannot know which individuals will predecease the average woman. Therefore, unless women as a class are assessed an extra charge, they will be subsidized, to some extent, by the class of male </w:t>
      </w:r>
      <w:bookmarkStart w:id="16" w:name="709"/>
      <w:r w:rsidRPr="00144027">
        <w:rPr>
          <w:rFonts w:ascii="Times New Roman" w:eastAsia="Times New Roman" w:hAnsi="Times New Roman" w:cs="Times New Roman"/>
          <w:color w:val="005500"/>
          <w:sz w:val="20"/>
          <w:szCs w:val="20"/>
        </w:rPr>
        <w:t xml:space="preserve">[435 U.S. 702, 709] </w:t>
      </w:r>
      <w:bookmarkEnd w:id="16"/>
      <w:r w:rsidRPr="00144027">
        <w:rPr>
          <w:rFonts w:ascii="Times New Roman" w:eastAsia="Times New Roman" w:hAnsi="Times New Roman" w:cs="Times New Roman"/>
          <w:color w:val="005500"/>
          <w:sz w:val="20"/>
          <w:szCs w:val="20"/>
        </w:rPr>
        <w:t xml:space="preserve">  </w:t>
      </w:r>
      <w:r w:rsidRPr="00144027">
        <w:rPr>
          <w:rFonts w:ascii="Times New Roman" w:eastAsia="Times New Roman" w:hAnsi="Times New Roman" w:cs="Times New Roman"/>
        </w:rPr>
        <w:t xml:space="preserve">employees. </w:t>
      </w:r>
      <w:bookmarkStart w:id="17" w:name="t14"/>
      <w:r w:rsidRPr="00144027">
        <w:rPr>
          <w:rFonts w:ascii="Times New Roman" w:eastAsia="Times New Roman" w:hAnsi="Times New Roman" w:cs="Times New Roman"/>
        </w:rPr>
        <w:fldChar w:fldCharType="begin"/>
      </w:r>
      <w:r w:rsidRPr="00144027">
        <w:rPr>
          <w:rFonts w:ascii="Times New Roman" w:eastAsia="Times New Roman" w:hAnsi="Times New Roman" w:cs="Times New Roman"/>
        </w:rPr>
        <w:instrText xml:space="preserve"> HYPERLINK "https://caselaw.findlaw.com/us-supreme-court/435/702.html" \l "f14" </w:instrText>
      </w:r>
      <w:r w:rsidRPr="00144027">
        <w:rPr>
          <w:rFonts w:ascii="Times New Roman" w:eastAsia="Times New Roman" w:hAnsi="Times New Roman" w:cs="Times New Roman"/>
        </w:rPr>
        <w:fldChar w:fldCharType="separate"/>
      </w:r>
      <w:r w:rsidRPr="00144027">
        <w:rPr>
          <w:rFonts w:ascii="Times New Roman" w:eastAsia="Times New Roman" w:hAnsi="Times New Roman" w:cs="Times New Roman"/>
          <w:color w:val="0000FF"/>
          <w:u w:val="single"/>
        </w:rPr>
        <w:t xml:space="preserve">14 </w:t>
      </w:r>
      <w:r w:rsidRPr="00144027">
        <w:rPr>
          <w:rFonts w:ascii="Times New Roman" w:eastAsia="Times New Roman" w:hAnsi="Times New Roman" w:cs="Times New Roman"/>
        </w:rPr>
        <w:fldChar w:fldCharType="end"/>
      </w:r>
      <w:bookmarkEnd w:id="17"/>
      <w:r w:rsidRPr="00144027">
        <w:rPr>
          <w:rFonts w:ascii="Times New Roman" w:eastAsia="Times New Roman" w:hAnsi="Times New Roman" w:cs="Times New Roman"/>
        </w:rPr>
        <w:t xml:space="preserve">It follows, according to the Department, that fairness to its class of male employees justifies the extra assessment against </w:t>
      </w:r>
      <w:proofErr w:type="gramStart"/>
      <w:r w:rsidRPr="00144027">
        <w:rPr>
          <w:rFonts w:ascii="Times New Roman" w:eastAsia="Times New Roman" w:hAnsi="Times New Roman" w:cs="Times New Roman"/>
        </w:rPr>
        <w:t>all of</w:t>
      </w:r>
      <w:proofErr w:type="gramEnd"/>
      <w:r w:rsidRPr="00144027">
        <w:rPr>
          <w:rFonts w:ascii="Times New Roman" w:eastAsia="Times New Roman" w:hAnsi="Times New Roman" w:cs="Times New Roman"/>
        </w:rPr>
        <w:t xml:space="preserve"> its female employees. </w:t>
      </w:r>
    </w:p>
    <w:p w14:paraId="69C77CE3" w14:textId="77777777" w:rsidR="00144027" w:rsidRPr="00144027" w:rsidRDefault="00144027" w:rsidP="00144027">
      <w:pPr>
        <w:spacing w:before="100" w:beforeAutospacing="1" w:after="100" w:afterAutospacing="1" w:line="240" w:lineRule="auto"/>
        <w:rPr>
          <w:rFonts w:ascii="Times New Roman" w:eastAsia="Times New Roman" w:hAnsi="Times New Roman" w:cs="Times New Roman"/>
        </w:rPr>
      </w:pPr>
      <w:r w:rsidRPr="00144027">
        <w:rPr>
          <w:rFonts w:ascii="Times New Roman" w:eastAsia="Times New Roman" w:hAnsi="Times New Roman" w:cs="Times New Roman"/>
        </w:rPr>
        <w:t xml:space="preserve">But the question of fairness to various classes affected by the statute is essentially a matter of policy for the legislature to address. Congress has decided that classifications based on sex, like those based on national origin or race, are unlawful. Actuarial studies could unquestionably identify differences in life expectancy based on race or national origin, as well as sex. </w:t>
      </w:r>
      <w:bookmarkStart w:id="18" w:name="t15"/>
      <w:r w:rsidRPr="00144027">
        <w:rPr>
          <w:rFonts w:ascii="Times New Roman" w:eastAsia="Times New Roman" w:hAnsi="Times New Roman" w:cs="Times New Roman"/>
        </w:rPr>
        <w:fldChar w:fldCharType="begin"/>
      </w:r>
      <w:r w:rsidRPr="00144027">
        <w:rPr>
          <w:rFonts w:ascii="Times New Roman" w:eastAsia="Times New Roman" w:hAnsi="Times New Roman" w:cs="Times New Roman"/>
        </w:rPr>
        <w:instrText xml:space="preserve"> HYPERLINK "https://caselaw.findlaw.com/us-supreme-court/435/702.html" \l "f15" </w:instrText>
      </w:r>
      <w:r w:rsidRPr="00144027">
        <w:rPr>
          <w:rFonts w:ascii="Times New Roman" w:eastAsia="Times New Roman" w:hAnsi="Times New Roman" w:cs="Times New Roman"/>
        </w:rPr>
        <w:fldChar w:fldCharType="separate"/>
      </w:r>
      <w:r w:rsidRPr="00144027">
        <w:rPr>
          <w:rFonts w:ascii="Times New Roman" w:eastAsia="Times New Roman" w:hAnsi="Times New Roman" w:cs="Times New Roman"/>
          <w:color w:val="0000FF"/>
          <w:u w:val="single"/>
        </w:rPr>
        <w:t xml:space="preserve">15 </w:t>
      </w:r>
      <w:r w:rsidRPr="00144027">
        <w:rPr>
          <w:rFonts w:ascii="Times New Roman" w:eastAsia="Times New Roman" w:hAnsi="Times New Roman" w:cs="Times New Roman"/>
        </w:rPr>
        <w:fldChar w:fldCharType="end"/>
      </w:r>
      <w:bookmarkEnd w:id="18"/>
      <w:r w:rsidRPr="00144027">
        <w:rPr>
          <w:rFonts w:ascii="Times New Roman" w:eastAsia="Times New Roman" w:hAnsi="Times New Roman" w:cs="Times New Roman"/>
        </w:rPr>
        <w:t xml:space="preserve">But a statute that was designed to make race irrelevant in the employment market, see Griggs v. Duke Power Co., </w:t>
      </w:r>
      <w:hyperlink r:id="rId8" w:anchor="436" w:history="1">
        <w:r w:rsidRPr="00144027">
          <w:rPr>
            <w:rFonts w:ascii="Times New Roman" w:eastAsia="Times New Roman" w:hAnsi="Times New Roman" w:cs="Times New Roman"/>
            <w:color w:val="0000FF"/>
            <w:u w:val="single"/>
          </w:rPr>
          <w:t xml:space="preserve">401 U.S. 424, 436 </w:t>
        </w:r>
      </w:hyperlink>
      <w:r w:rsidRPr="00144027">
        <w:rPr>
          <w:rFonts w:ascii="Times New Roman" w:eastAsia="Times New Roman" w:hAnsi="Times New Roman" w:cs="Times New Roman"/>
        </w:rPr>
        <w:t xml:space="preserve">, could not reasonably be construed to permit a take-home-pay differential based on a racial classification. </w:t>
      </w:r>
      <w:bookmarkStart w:id="19" w:name="t16"/>
      <w:r w:rsidRPr="00144027">
        <w:rPr>
          <w:rFonts w:ascii="Times New Roman" w:eastAsia="Times New Roman" w:hAnsi="Times New Roman" w:cs="Times New Roman"/>
        </w:rPr>
        <w:fldChar w:fldCharType="begin"/>
      </w:r>
      <w:r w:rsidRPr="00144027">
        <w:rPr>
          <w:rFonts w:ascii="Times New Roman" w:eastAsia="Times New Roman" w:hAnsi="Times New Roman" w:cs="Times New Roman"/>
        </w:rPr>
        <w:instrText xml:space="preserve"> HYPERLINK "https://caselaw.findlaw.com/us-supreme-court/435/702.html" \l "f16" </w:instrText>
      </w:r>
      <w:r w:rsidRPr="00144027">
        <w:rPr>
          <w:rFonts w:ascii="Times New Roman" w:eastAsia="Times New Roman" w:hAnsi="Times New Roman" w:cs="Times New Roman"/>
        </w:rPr>
        <w:fldChar w:fldCharType="separate"/>
      </w:r>
      <w:r w:rsidRPr="00144027">
        <w:rPr>
          <w:rFonts w:ascii="Times New Roman" w:eastAsia="Times New Roman" w:hAnsi="Times New Roman" w:cs="Times New Roman"/>
          <w:color w:val="0000FF"/>
          <w:u w:val="single"/>
        </w:rPr>
        <w:t xml:space="preserve">16 </w:t>
      </w:r>
      <w:r w:rsidRPr="00144027">
        <w:rPr>
          <w:rFonts w:ascii="Times New Roman" w:eastAsia="Times New Roman" w:hAnsi="Times New Roman" w:cs="Times New Roman"/>
        </w:rPr>
        <w:fldChar w:fldCharType="end"/>
      </w:r>
      <w:bookmarkEnd w:id="19"/>
      <w:r w:rsidRPr="00144027">
        <w:rPr>
          <w:rFonts w:ascii="Times New Roman" w:eastAsia="Times New Roman" w:hAnsi="Times New Roman" w:cs="Times New Roman"/>
        </w:rPr>
        <w:t xml:space="preserve">  </w:t>
      </w:r>
    </w:p>
    <w:p w14:paraId="250EED4E" w14:textId="77777777" w:rsidR="00144027" w:rsidRPr="00144027" w:rsidRDefault="00144027" w:rsidP="00144027">
      <w:pPr>
        <w:spacing w:before="100" w:beforeAutospacing="1" w:after="100" w:afterAutospacing="1" w:line="240" w:lineRule="auto"/>
        <w:rPr>
          <w:rFonts w:ascii="Times New Roman" w:eastAsia="Times New Roman" w:hAnsi="Times New Roman" w:cs="Times New Roman"/>
        </w:rPr>
      </w:pPr>
      <w:r w:rsidRPr="00144027">
        <w:rPr>
          <w:rFonts w:ascii="Times New Roman" w:eastAsia="Times New Roman" w:hAnsi="Times New Roman" w:cs="Times New Roman"/>
        </w:rPr>
        <w:t xml:space="preserve">Even if the statutory language were less clear, the basic policy of the statute requires that we focus on fairness to individuals rather than fairness to classes. Practices that classify employees in terms of religion, race, or sex tend to preserve traditional assumptions about groups rather than thoughtful scrutiny of individuals. The generalization involved in this case illustrates the point. Separate mortality tables are easily interpreted as reflecting innate differences between the sexes; but a significant part of the longevity </w:t>
      </w:r>
      <w:bookmarkStart w:id="20" w:name="710"/>
      <w:r w:rsidRPr="00144027">
        <w:rPr>
          <w:rFonts w:ascii="Times New Roman" w:eastAsia="Times New Roman" w:hAnsi="Times New Roman" w:cs="Times New Roman"/>
          <w:color w:val="005500"/>
          <w:sz w:val="20"/>
          <w:szCs w:val="20"/>
        </w:rPr>
        <w:t xml:space="preserve">[435 U.S. 702, 710] </w:t>
      </w:r>
      <w:bookmarkEnd w:id="20"/>
      <w:r w:rsidRPr="00144027">
        <w:rPr>
          <w:rFonts w:ascii="Times New Roman" w:eastAsia="Times New Roman" w:hAnsi="Times New Roman" w:cs="Times New Roman"/>
          <w:color w:val="005500"/>
          <w:sz w:val="20"/>
          <w:szCs w:val="20"/>
        </w:rPr>
        <w:t xml:space="preserve">  </w:t>
      </w:r>
      <w:r w:rsidRPr="00144027">
        <w:rPr>
          <w:rFonts w:ascii="Times New Roman" w:eastAsia="Times New Roman" w:hAnsi="Times New Roman" w:cs="Times New Roman"/>
        </w:rPr>
        <w:t xml:space="preserve">differential may be explained by the social fact that men are heavier smokers than women. </w:t>
      </w:r>
      <w:bookmarkStart w:id="21" w:name="t17"/>
      <w:r w:rsidRPr="00144027">
        <w:rPr>
          <w:rFonts w:ascii="Times New Roman" w:eastAsia="Times New Roman" w:hAnsi="Times New Roman" w:cs="Times New Roman"/>
        </w:rPr>
        <w:fldChar w:fldCharType="begin"/>
      </w:r>
      <w:r w:rsidRPr="00144027">
        <w:rPr>
          <w:rFonts w:ascii="Times New Roman" w:eastAsia="Times New Roman" w:hAnsi="Times New Roman" w:cs="Times New Roman"/>
        </w:rPr>
        <w:instrText xml:space="preserve"> HYPERLINK "https://caselaw.findlaw.com/us-supreme-court/435/702.html" \l "f17" </w:instrText>
      </w:r>
      <w:r w:rsidRPr="00144027">
        <w:rPr>
          <w:rFonts w:ascii="Times New Roman" w:eastAsia="Times New Roman" w:hAnsi="Times New Roman" w:cs="Times New Roman"/>
        </w:rPr>
        <w:fldChar w:fldCharType="separate"/>
      </w:r>
      <w:r w:rsidRPr="00144027">
        <w:rPr>
          <w:rFonts w:ascii="Times New Roman" w:eastAsia="Times New Roman" w:hAnsi="Times New Roman" w:cs="Times New Roman"/>
          <w:color w:val="0000FF"/>
          <w:u w:val="single"/>
        </w:rPr>
        <w:t xml:space="preserve">17 </w:t>
      </w:r>
      <w:r w:rsidRPr="00144027">
        <w:rPr>
          <w:rFonts w:ascii="Times New Roman" w:eastAsia="Times New Roman" w:hAnsi="Times New Roman" w:cs="Times New Roman"/>
        </w:rPr>
        <w:fldChar w:fldCharType="end"/>
      </w:r>
      <w:bookmarkEnd w:id="21"/>
      <w:r w:rsidRPr="00144027">
        <w:rPr>
          <w:rFonts w:ascii="Times New Roman" w:eastAsia="Times New Roman" w:hAnsi="Times New Roman" w:cs="Times New Roman"/>
        </w:rPr>
        <w:t xml:space="preserve">  </w:t>
      </w:r>
    </w:p>
    <w:p w14:paraId="48B27ED6" w14:textId="77777777" w:rsidR="00144027" w:rsidRPr="00144027" w:rsidRDefault="00144027" w:rsidP="00144027">
      <w:pPr>
        <w:spacing w:before="100" w:beforeAutospacing="1" w:after="100" w:afterAutospacing="1" w:line="240" w:lineRule="auto"/>
        <w:rPr>
          <w:rFonts w:ascii="Times New Roman" w:eastAsia="Times New Roman" w:hAnsi="Times New Roman" w:cs="Times New Roman"/>
        </w:rPr>
      </w:pPr>
      <w:r w:rsidRPr="00144027">
        <w:rPr>
          <w:rFonts w:ascii="Times New Roman" w:eastAsia="Times New Roman" w:hAnsi="Times New Roman" w:cs="Times New Roman"/>
        </w:rPr>
        <w:t xml:space="preserve">Finally, there is no reason to believe that Congress intended a special definition of discrimination in the context of employee group insurance coverage. It is true that insurance is concerned with events that are individually unpredictable, but that is characteristic of many employment decisions. Individual risks, like individual performance, may not be predicted by resort to classifications proscribed by Title VII. Indeed, the fact that this case involves a group insurance program highlights a basic flaw in the Department's fairness argument. For when insurance risks are grouped, the better risks always subsidize the poorer risks. Healthy persons subsidize medical benefits for the less healthy; unmarried workers subsidize the pensions of married workers; </w:t>
      </w:r>
      <w:bookmarkStart w:id="22" w:name="t18"/>
      <w:r w:rsidRPr="00144027">
        <w:rPr>
          <w:rFonts w:ascii="Times New Roman" w:eastAsia="Times New Roman" w:hAnsi="Times New Roman" w:cs="Times New Roman"/>
        </w:rPr>
        <w:fldChar w:fldCharType="begin"/>
      </w:r>
      <w:r w:rsidRPr="00144027">
        <w:rPr>
          <w:rFonts w:ascii="Times New Roman" w:eastAsia="Times New Roman" w:hAnsi="Times New Roman" w:cs="Times New Roman"/>
        </w:rPr>
        <w:instrText xml:space="preserve"> HYPERLINK "https://caselaw.findlaw.com/us-supreme-court/435/702.html" \l "f18" </w:instrText>
      </w:r>
      <w:r w:rsidRPr="00144027">
        <w:rPr>
          <w:rFonts w:ascii="Times New Roman" w:eastAsia="Times New Roman" w:hAnsi="Times New Roman" w:cs="Times New Roman"/>
        </w:rPr>
        <w:fldChar w:fldCharType="separate"/>
      </w:r>
      <w:r w:rsidRPr="00144027">
        <w:rPr>
          <w:rFonts w:ascii="Times New Roman" w:eastAsia="Times New Roman" w:hAnsi="Times New Roman" w:cs="Times New Roman"/>
          <w:color w:val="0000FF"/>
          <w:u w:val="single"/>
        </w:rPr>
        <w:t xml:space="preserve">18 </w:t>
      </w:r>
      <w:r w:rsidRPr="00144027">
        <w:rPr>
          <w:rFonts w:ascii="Times New Roman" w:eastAsia="Times New Roman" w:hAnsi="Times New Roman" w:cs="Times New Roman"/>
        </w:rPr>
        <w:fldChar w:fldCharType="end"/>
      </w:r>
      <w:bookmarkEnd w:id="22"/>
      <w:r w:rsidRPr="00144027">
        <w:rPr>
          <w:rFonts w:ascii="Times New Roman" w:eastAsia="Times New Roman" w:hAnsi="Times New Roman" w:cs="Times New Roman"/>
        </w:rPr>
        <w:t xml:space="preserve">persons who eat, drink, or smoke to excess may subsidize pension benefits for persons whose habits are more temperate. Treating different classes of risks as though they were the same for purposes of group insurance is a common practice that has never been considered inherently unfair. To insure the flabby and the fit as though they were equivalent risks may be more common than treating men and women alike; </w:t>
      </w:r>
      <w:bookmarkStart w:id="23" w:name="t19"/>
      <w:r w:rsidRPr="00144027">
        <w:rPr>
          <w:rFonts w:ascii="Times New Roman" w:eastAsia="Times New Roman" w:hAnsi="Times New Roman" w:cs="Times New Roman"/>
        </w:rPr>
        <w:fldChar w:fldCharType="begin"/>
      </w:r>
      <w:r w:rsidRPr="00144027">
        <w:rPr>
          <w:rFonts w:ascii="Times New Roman" w:eastAsia="Times New Roman" w:hAnsi="Times New Roman" w:cs="Times New Roman"/>
        </w:rPr>
        <w:instrText xml:space="preserve"> HYPERLINK "https://caselaw.findlaw.com/us-supreme-court/435/702.html" \l "f19" </w:instrText>
      </w:r>
      <w:r w:rsidRPr="00144027">
        <w:rPr>
          <w:rFonts w:ascii="Times New Roman" w:eastAsia="Times New Roman" w:hAnsi="Times New Roman" w:cs="Times New Roman"/>
        </w:rPr>
        <w:fldChar w:fldCharType="separate"/>
      </w:r>
      <w:r w:rsidRPr="00144027">
        <w:rPr>
          <w:rFonts w:ascii="Times New Roman" w:eastAsia="Times New Roman" w:hAnsi="Times New Roman" w:cs="Times New Roman"/>
          <w:color w:val="0000FF"/>
          <w:u w:val="single"/>
        </w:rPr>
        <w:t xml:space="preserve">19 </w:t>
      </w:r>
      <w:r w:rsidRPr="00144027">
        <w:rPr>
          <w:rFonts w:ascii="Times New Roman" w:eastAsia="Times New Roman" w:hAnsi="Times New Roman" w:cs="Times New Roman"/>
        </w:rPr>
        <w:fldChar w:fldCharType="end"/>
      </w:r>
      <w:bookmarkEnd w:id="23"/>
      <w:r w:rsidRPr="00144027">
        <w:rPr>
          <w:rFonts w:ascii="Times New Roman" w:eastAsia="Times New Roman" w:hAnsi="Times New Roman" w:cs="Times New Roman"/>
        </w:rPr>
        <w:t xml:space="preserve">but nothing more than habit makes one "subsidy" seem less fair than the other. </w:t>
      </w:r>
      <w:bookmarkStart w:id="24" w:name="t20"/>
      <w:r w:rsidRPr="00144027">
        <w:rPr>
          <w:rFonts w:ascii="Times New Roman" w:eastAsia="Times New Roman" w:hAnsi="Times New Roman" w:cs="Times New Roman"/>
        </w:rPr>
        <w:fldChar w:fldCharType="begin"/>
      </w:r>
      <w:r w:rsidRPr="00144027">
        <w:rPr>
          <w:rFonts w:ascii="Times New Roman" w:eastAsia="Times New Roman" w:hAnsi="Times New Roman" w:cs="Times New Roman"/>
        </w:rPr>
        <w:instrText xml:space="preserve"> HYPERLINK "https://caselaw.findlaw.com/us-supreme-court/435/702.html" \l "f20" </w:instrText>
      </w:r>
      <w:r w:rsidRPr="00144027">
        <w:rPr>
          <w:rFonts w:ascii="Times New Roman" w:eastAsia="Times New Roman" w:hAnsi="Times New Roman" w:cs="Times New Roman"/>
        </w:rPr>
        <w:fldChar w:fldCharType="separate"/>
      </w:r>
      <w:r w:rsidRPr="00144027">
        <w:rPr>
          <w:rFonts w:ascii="Times New Roman" w:eastAsia="Times New Roman" w:hAnsi="Times New Roman" w:cs="Times New Roman"/>
          <w:color w:val="0000FF"/>
          <w:u w:val="single"/>
        </w:rPr>
        <w:t xml:space="preserve">20 </w:t>
      </w:r>
      <w:r w:rsidRPr="00144027">
        <w:rPr>
          <w:rFonts w:ascii="Times New Roman" w:eastAsia="Times New Roman" w:hAnsi="Times New Roman" w:cs="Times New Roman"/>
        </w:rPr>
        <w:fldChar w:fldCharType="end"/>
      </w:r>
      <w:bookmarkEnd w:id="24"/>
      <w:r w:rsidRPr="00144027">
        <w:rPr>
          <w:rFonts w:ascii="Times New Roman" w:eastAsia="Times New Roman" w:hAnsi="Times New Roman" w:cs="Times New Roman"/>
        </w:rPr>
        <w:t xml:space="preserve">  </w:t>
      </w:r>
      <w:r w:rsidRPr="00144027">
        <w:rPr>
          <w:rFonts w:ascii="Times New Roman" w:eastAsia="Times New Roman" w:hAnsi="Times New Roman" w:cs="Times New Roman"/>
          <w:color w:val="005500"/>
          <w:sz w:val="20"/>
          <w:szCs w:val="20"/>
        </w:rPr>
        <w:t xml:space="preserve">[435 U.S. 702, 711]   </w:t>
      </w:r>
    </w:p>
    <w:p w14:paraId="02B8A5BF" w14:textId="77777777" w:rsidR="00144027" w:rsidRPr="00144027" w:rsidRDefault="00144027" w:rsidP="00144027">
      <w:pPr>
        <w:spacing w:before="100" w:beforeAutospacing="1" w:after="100" w:afterAutospacing="1" w:line="240" w:lineRule="auto"/>
        <w:rPr>
          <w:rFonts w:ascii="Times New Roman" w:eastAsia="Times New Roman" w:hAnsi="Times New Roman" w:cs="Times New Roman"/>
        </w:rPr>
      </w:pPr>
      <w:r w:rsidRPr="00144027">
        <w:rPr>
          <w:rFonts w:ascii="Times New Roman" w:eastAsia="Times New Roman" w:hAnsi="Times New Roman" w:cs="Times New Roman"/>
        </w:rPr>
        <w:lastRenderedPageBreak/>
        <w:t xml:space="preserve">An employment practice that requires 2,000 individuals to contribute more money into a fund than 10,000 other employees simply because each of them is a woman, rather than a man, is in direct conflict with both the language and the policy of the Act. Such a practice does not pass the simple test of whether the evidence shows "treatment of a person in a manner which but for that person's sex would be different." </w:t>
      </w:r>
      <w:bookmarkStart w:id="25" w:name="t21"/>
      <w:r w:rsidRPr="00144027">
        <w:rPr>
          <w:rFonts w:ascii="Times New Roman" w:eastAsia="Times New Roman" w:hAnsi="Times New Roman" w:cs="Times New Roman"/>
        </w:rPr>
        <w:fldChar w:fldCharType="begin"/>
      </w:r>
      <w:r w:rsidRPr="00144027">
        <w:rPr>
          <w:rFonts w:ascii="Times New Roman" w:eastAsia="Times New Roman" w:hAnsi="Times New Roman" w:cs="Times New Roman"/>
        </w:rPr>
        <w:instrText xml:space="preserve"> HYPERLINK "https://caselaw.findlaw.com/us-supreme-court/435/702.html" \l "f21" </w:instrText>
      </w:r>
      <w:r w:rsidRPr="00144027">
        <w:rPr>
          <w:rFonts w:ascii="Times New Roman" w:eastAsia="Times New Roman" w:hAnsi="Times New Roman" w:cs="Times New Roman"/>
        </w:rPr>
        <w:fldChar w:fldCharType="separate"/>
      </w:r>
      <w:r w:rsidRPr="00144027">
        <w:rPr>
          <w:rFonts w:ascii="Times New Roman" w:eastAsia="Times New Roman" w:hAnsi="Times New Roman" w:cs="Times New Roman"/>
          <w:color w:val="0000FF"/>
          <w:u w:val="single"/>
        </w:rPr>
        <w:t xml:space="preserve">21 </w:t>
      </w:r>
      <w:r w:rsidRPr="00144027">
        <w:rPr>
          <w:rFonts w:ascii="Times New Roman" w:eastAsia="Times New Roman" w:hAnsi="Times New Roman" w:cs="Times New Roman"/>
        </w:rPr>
        <w:fldChar w:fldCharType="end"/>
      </w:r>
      <w:bookmarkEnd w:id="25"/>
      <w:r w:rsidRPr="00144027">
        <w:rPr>
          <w:rFonts w:ascii="Times New Roman" w:eastAsia="Times New Roman" w:hAnsi="Times New Roman" w:cs="Times New Roman"/>
        </w:rPr>
        <w:t xml:space="preserve">It constitutes discrimination and is unlawful unless exempted by the Equal Pay Act of 1963 or some other affirmative justification. </w:t>
      </w:r>
    </w:p>
    <w:p w14:paraId="00BB473D" w14:textId="77777777" w:rsidR="00144027" w:rsidRPr="00144027" w:rsidRDefault="00144027" w:rsidP="00144027">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144027">
        <w:rPr>
          <w:rFonts w:ascii="Times New Roman" w:eastAsia="Times New Roman" w:hAnsi="Times New Roman" w:cs="Times New Roman"/>
          <w:b/>
          <w:bCs/>
          <w:sz w:val="27"/>
          <w:szCs w:val="27"/>
        </w:rPr>
        <w:t xml:space="preserve">II </w:t>
      </w:r>
    </w:p>
    <w:p w14:paraId="2BA8A124" w14:textId="77777777" w:rsidR="00144027" w:rsidRPr="00144027" w:rsidRDefault="00144027" w:rsidP="00144027">
      <w:pPr>
        <w:spacing w:before="100" w:beforeAutospacing="1" w:after="100" w:afterAutospacing="1" w:line="240" w:lineRule="auto"/>
        <w:rPr>
          <w:rFonts w:ascii="Times New Roman" w:eastAsia="Times New Roman" w:hAnsi="Times New Roman" w:cs="Times New Roman"/>
        </w:rPr>
      </w:pPr>
      <w:r w:rsidRPr="00144027">
        <w:rPr>
          <w:rFonts w:ascii="Times New Roman" w:eastAsia="Times New Roman" w:hAnsi="Times New Roman" w:cs="Times New Roman"/>
        </w:rPr>
        <w:t xml:space="preserve">Shortly before the enactment of Title VII in 1964, Senator Bennett proposed an amendment providing that a compensation differential based on sex would not be unlawful if it was authorized by the Equal Pay Act, which had been passed a year earlier. </w:t>
      </w:r>
      <w:bookmarkStart w:id="26" w:name="t22"/>
      <w:r w:rsidRPr="00144027">
        <w:rPr>
          <w:rFonts w:ascii="Times New Roman" w:eastAsia="Times New Roman" w:hAnsi="Times New Roman" w:cs="Times New Roman"/>
        </w:rPr>
        <w:fldChar w:fldCharType="begin"/>
      </w:r>
      <w:r w:rsidRPr="00144027">
        <w:rPr>
          <w:rFonts w:ascii="Times New Roman" w:eastAsia="Times New Roman" w:hAnsi="Times New Roman" w:cs="Times New Roman"/>
        </w:rPr>
        <w:instrText xml:space="preserve"> HYPERLINK "https://caselaw.findlaw.com/us-supreme-court/435/702.html" \l "f22" </w:instrText>
      </w:r>
      <w:r w:rsidRPr="00144027">
        <w:rPr>
          <w:rFonts w:ascii="Times New Roman" w:eastAsia="Times New Roman" w:hAnsi="Times New Roman" w:cs="Times New Roman"/>
        </w:rPr>
        <w:fldChar w:fldCharType="separate"/>
      </w:r>
      <w:r w:rsidRPr="00144027">
        <w:rPr>
          <w:rFonts w:ascii="Times New Roman" w:eastAsia="Times New Roman" w:hAnsi="Times New Roman" w:cs="Times New Roman"/>
          <w:color w:val="0000FF"/>
          <w:u w:val="single"/>
        </w:rPr>
        <w:t xml:space="preserve">22 </w:t>
      </w:r>
      <w:r w:rsidRPr="00144027">
        <w:rPr>
          <w:rFonts w:ascii="Times New Roman" w:eastAsia="Times New Roman" w:hAnsi="Times New Roman" w:cs="Times New Roman"/>
        </w:rPr>
        <w:fldChar w:fldCharType="end"/>
      </w:r>
      <w:bookmarkEnd w:id="26"/>
      <w:r w:rsidRPr="00144027">
        <w:rPr>
          <w:rFonts w:ascii="Times New Roman" w:eastAsia="Times New Roman" w:hAnsi="Times New Roman" w:cs="Times New Roman"/>
        </w:rPr>
        <w:t xml:space="preserve">The Equal Pay Act requires employers to pay </w:t>
      </w:r>
      <w:r w:rsidRPr="00144027">
        <w:rPr>
          <w:rFonts w:ascii="Times New Roman" w:eastAsia="Times New Roman" w:hAnsi="Times New Roman" w:cs="Times New Roman"/>
          <w:color w:val="005500"/>
          <w:sz w:val="20"/>
          <w:szCs w:val="20"/>
        </w:rPr>
        <w:t xml:space="preserve">[435 U.S. 702, 712]   </w:t>
      </w:r>
      <w:r w:rsidRPr="00144027">
        <w:rPr>
          <w:rFonts w:ascii="Times New Roman" w:eastAsia="Times New Roman" w:hAnsi="Times New Roman" w:cs="Times New Roman"/>
        </w:rPr>
        <w:t xml:space="preserve">members of both sexes the same wages for equivalent work, except when the differential is pursuant to one of four specified exceptions. </w:t>
      </w:r>
      <w:bookmarkStart w:id="27" w:name="t23"/>
      <w:r w:rsidRPr="00144027">
        <w:rPr>
          <w:rFonts w:ascii="Times New Roman" w:eastAsia="Times New Roman" w:hAnsi="Times New Roman" w:cs="Times New Roman"/>
        </w:rPr>
        <w:fldChar w:fldCharType="begin"/>
      </w:r>
      <w:r w:rsidRPr="00144027">
        <w:rPr>
          <w:rFonts w:ascii="Times New Roman" w:eastAsia="Times New Roman" w:hAnsi="Times New Roman" w:cs="Times New Roman"/>
        </w:rPr>
        <w:instrText xml:space="preserve"> HYPERLINK "https://caselaw.findlaw.com/us-supreme-court/435/702.html" \l "f23" </w:instrText>
      </w:r>
      <w:r w:rsidRPr="00144027">
        <w:rPr>
          <w:rFonts w:ascii="Times New Roman" w:eastAsia="Times New Roman" w:hAnsi="Times New Roman" w:cs="Times New Roman"/>
        </w:rPr>
        <w:fldChar w:fldCharType="separate"/>
      </w:r>
      <w:r w:rsidRPr="00144027">
        <w:rPr>
          <w:rFonts w:ascii="Times New Roman" w:eastAsia="Times New Roman" w:hAnsi="Times New Roman" w:cs="Times New Roman"/>
          <w:color w:val="0000FF"/>
          <w:u w:val="single"/>
        </w:rPr>
        <w:t xml:space="preserve">23 </w:t>
      </w:r>
      <w:r w:rsidRPr="00144027">
        <w:rPr>
          <w:rFonts w:ascii="Times New Roman" w:eastAsia="Times New Roman" w:hAnsi="Times New Roman" w:cs="Times New Roman"/>
        </w:rPr>
        <w:fldChar w:fldCharType="end"/>
      </w:r>
      <w:bookmarkEnd w:id="27"/>
      <w:r w:rsidRPr="00144027">
        <w:rPr>
          <w:rFonts w:ascii="Times New Roman" w:eastAsia="Times New Roman" w:hAnsi="Times New Roman" w:cs="Times New Roman"/>
        </w:rPr>
        <w:t xml:space="preserve">The Department contends that the fourth exception applies here. That exception authorizes a "differential based on any other factor other than sex." </w:t>
      </w:r>
    </w:p>
    <w:p w14:paraId="7F3AB277" w14:textId="77777777" w:rsidR="00144027" w:rsidRPr="00144027" w:rsidRDefault="00144027" w:rsidP="00144027">
      <w:pPr>
        <w:spacing w:before="100" w:beforeAutospacing="1" w:after="100" w:afterAutospacing="1" w:line="240" w:lineRule="auto"/>
        <w:rPr>
          <w:rFonts w:ascii="Times New Roman" w:eastAsia="Times New Roman" w:hAnsi="Times New Roman" w:cs="Times New Roman"/>
        </w:rPr>
      </w:pPr>
      <w:r w:rsidRPr="00144027">
        <w:rPr>
          <w:rFonts w:ascii="Times New Roman" w:eastAsia="Times New Roman" w:hAnsi="Times New Roman" w:cs="Times New Roman"/>
        </w:rPr>
        <w:t xml:space="preserve">The Department argues that the different contributions exacted from men and women were based on the factor of longevity rather than sex. It is plain, however, that any individual's life expectancy is based on </w:t>
      </w:r>
      <w:proofErr w:type="gramStart"/>
      <w:r w:rsidRPr="00144027">
        <w:rPr>
          <w:rFonts w:ascii="Times New Roman" w:eastAsia="Times New Roman" w:hAnsi="Times New Roman" w:cs="Times New Roman"/>
        </w:rPr>
        <w:t>a number of</w:t>
      </w:r>
      <w:proofErr w:type="gramEnd"/>
      <w:r w:rsidRPr="00144027">
        <w:rPr>
          <w:rFonts w:ascii="Times New Roman" w:eastAsia="Times New Roman" w:hAnsi="Times New Roman" w:cs="Times New Roman"/>
        </w:rPr>
        <w:t xml:space="preserve"> factors, of which sex is only one. The record contains no evidence that any factor other than the employee's sex was </w:t>
      </w:r>
      <w:proofErr w:type="gramStart"/>
      <w:r w:rsidRPr="00144027">
        <w:rPr>
          <w:rFonts w:ascii="Times New Roman" w:eastAsia="Times New Roman" w:hAnsi="Times New Roman" w:cs="Times New Roman"/>
        </w:rPr>
        <w:t>taken into account</w:t>
      </w:r>
      <w:proofErr w:type="gramEnd"/>
      <w:r w:rsidRPr="00144027">
        <w:rPr>
          <w:rFonts w:ascii="Times New Roman" w:eastAsia="Times New Roman" w:hAnsi="Times New Roman" w:cs="Times New Roman"/>
        </w:rPr>
        <w:t xml:space="preserve"> in calculating the 14.84% differential between the respective contributions by men and women. We agree with Judge </w:t>
      </w:r>
      <w:proofErr w:type="spellStart"/>
      <w:r w:rsidRPr="00144027">
        <w:rPr>
          <w:rFonts w:ascii="Times New Roman" w:eastAsia="Times New Roman" w:hAnsi="Times New Roman" w:cs="Times New Roman"/>
        </w:rPr>
        <w:t>Duniway's</w:t>
      </w:r>
      <w:proofErr w:type="spellEnd"/>
      <w:r w:rsidRPr="00144027">
        <w:rPr>
          <w:rFonts w:ascii="Times New Roman" w:eastAsia="Times New Roman" w:hAnsi="Times New Roman" w:cs="Times New Roman"/>
        </w:rPr>
        <w:t xml:space="preserve"> observation that one cannot "say that an </w:t>
      </w:r>
      <w:bookmarkStart w:id="28" w:name="713"/>
      <w:r w:rsidRPr="00144027">
        <w:rPr>
          <w:rFonts w:ascii="Times New Roman" w:eastAsia="Times New Roman" w:hAnsi="Times New Roman" w:cs="Times New Roman"/>
          <w:color w:val="005500"/>
          <w:sz w:val="20"/>
          <w:szCs w:val="20"/>
        </w:rPr>
        <w:t xml:space="preserve">[435 U.S. 702, 713] </w:t>
      </w:r>
      <w:bookmarkEnd w:id="28"/>
      <w:r w:rsidRPr="00144027">
        <w:rPr>
          <w:rFonts w:ascii="Times New Roman" w:eastAsia="Times New Roman" w:hAnsi="Times New Roman" w:cs="Times New Roman"/>
          <w:color w:val="005500"/>
          <w:sz w:val="20"/>
          <w:szCs w:val="20"/>
        </w:rPr>
        <w:t xml:space="preserve">  </w:t>
      </w:r>
      <w:r w:rsidRPr="00144027">
        <w:rPr>
          <w:rFonts w:ascii="Times New Roman" w:eastAsia="Times New Roman" w:hAnsi="Times New Roman" w:cs="Times New Roman"/>
        </w:rPr>
        <w:t xml:space="preserve">actuarial distinction based entirely on sex is `based on any other factor other than sex.' Sex is exactly what it is based on." 553 </w:t>
      </w:r>
      <w:proofErr w:type="spellStart"/>
      <w:r w:rsidRPr="00144027">
        <w:rPr>
          <w:rFonts w:ascii="Times New Roman" w:eastAsia="Times New Roman" w:hAnsi="Times New Roman" w:cs="Times New Roman"/>
        </w:rPr>
        <w:t>F.2d</w:t>
      </w:r>
      <w:proofErr w:type="spellEnd"/>
      <w:r w:rsidRPr="00144027">
        <w:rPr>
          <w:rFonts w:ascii="Times New Roman" w:eastAsia="Times New Roman" w:hAnsi="Times New Roman" w:cs="Times New Roman"/>
        </w:rPr>
        <w:t xml:space="preserve"> 581, 588 (1976). </w:t>
      </w:r>
      <w:bookmarkStart w:id="29" w:name="t24"/>
      <w:r w:rsidRPr="00144027">
        <w:rPr>
          <w:rFonts w:ascii="Times New Roman" w:eastAsia="Times New Roman" w:hAnsi="Times New Roman" w:cs="Times New Roman"/>
        </w:rPr>
        <w:fldChar w:fldCharType="begin"/>
      </w:r>
      <w:r w:rsidRPr="00144027">
        <w:rPr>
          <w:rFonts w:ascii="Times New Roman" w:eastAsia="Times New Roman" w:hAnsi="Times New Roman" w:cs="Times New Roman"/>
        </w:rPr>
        <w:instrText xml:space="preserve"> HYPERLINK "https://caselaw.findlaw.com/us-supreme-court/435/702.html" \l "f24" </w:instrText>
      </w:r>
      <w:r w:rsidRPr="00144027">
        <w:rPr>
          <w:rFonts w:ascii="Times New Roman" w:eastAsia="Times New Roman" w:hAnsi="Times New Roman" w:cs="Times New Roman"/>
        </w:rPr>
        <w:fldChar w:fldCharType="separate"/>
      </w:r>
      <w:r w:rsidRPr="00144027">
        <w:rPr>
          <w:rFonts w:ascii="Times New Roman" w:eastAsia="Times New Roman" w:hAnsi="Times New Roman" w:cs="Times New Roman"/>
          <w:color w:val="0000FF"/>
          <w:u w:val="single"/>
        </w:rPr>
        <w:t xml:space="preserve">24 </w:t>
      </w:r>
      <w:r w:rsidRPr="00144027">
        <w:rPr>
          <w:rFonts w:ascii="Times New Roman" w:eastAsia="Times New Roman" w:hAnsi="Times New Roman" w:cs="Times New Roman"/>
        </w:rPr>
        <w:fldChar w:fldCharType="end"/>
      </w:r>
      <w:bookmarkEnd w:id="29"/>
      <w:r w:rsidRPr="00144027">
        <w:rPr>
          <w:rFonts w:ascii="Times New Roman" w:eastAsia="Times New Roman" w:hAnsi="Times New Roman" w:cs="Times New Roman"/>
        </w:rPr>
        <w:t xml:space="preserve">  </w:t>
      </w:r>
    </w:p>
    <w:p w14:paraId="09DD8ED6" w14:textId="77777777" w:rsidR="00144027" w:rsidRPr="00144027" w:rsidRDefault="00144027" w:rsidP="00144027">
      <w:pPr>
        <w:spacing w:before="100" w:beforeAutospacing="1" w:after="100" w:afterAutospacing="1" w:line="240" w:lineRule="auto"/>
        <w:rPr>
          <w:rFonts w:ascii="Times New Roman" w:eastAsia="Times New Roman" w:hAnsi="Times New Roman" w:cs="Times New Roman"/>
        </w:rPr>
      </w:pPr>
      <w:r w:rsidRPr="00144027">
        <w:rPr>
          <w:rFonts w:ascii="Times New Roman" w:eastAsia="Times New Roman" w:hAnsi="Times New Roman" w:cs="Times New Roman"/>
        </w:rPr>
        <w:t xml:space="preserve">We are also unpersuaded by the Department's reliance on a colloquy between Senator Randolph and Senator Humphrey during the debate on the Civil Rights Act of 1964. Commenting on the Bennett Amendment, Senator Humphrey expressed his understanding that it would allow many differences in the treatment of men and women under industrial benefit plans, including earlier retirement options for women. </w:t>
      </w:r>
      <w:bookmarkStart w:id="30" w:name="t25"/>
      <w:r w:rsidRPr="00144027">
        <w:rPr>
          <w:rFonts w:ascii="Times New Roman" w:eastAsia="Times New Roman" w:hAnsi="Times New Roman" w:cs="Times New Roman"/>
        </w:rPr>
        <w:fldChar w:fldCharType="begin"/>
      </w:r>
      <w:r w:rsidRPr="00144027">
        <w:rPr>
          <w:rFonts w:ascii="Times New Roman" w:eastAsia="Times New Roman" w:hAnsi="Times New Roman" w:cs="Times New Roman"/>
        </w:rPr>
        <w:instrText xml:space="preserve"> HYPERLINK "https://caselaw.findlaw.com/us-supreme-court/435/702.html" \l "f25" </w:instrText>
      </w:r>
      <w:r w:rsidRPr="00144027">
        <w:rPr>
          <w:rFonts w:ascii="Times New Roman" w:eastAsia="Times New Roman" w:hAnsi="Times New Roman" w:cs="Times New Roman"/>
        </w:rPr>
        <w:fldChar w:fldCharType="separate"/>
      </w:r>
      <w:r w:rsidRPr="00144027">
        <w:rPr>
          <w:rFonts w:ascii="Times New Roman" w:eastAsia="Times New Roman" w:hAnsi="Times New Roman" w:cs="Times New Roman"/>
          <w:color w:val="0000FF"/>
          <w:u w:val="single"/>
        </w:rPr>
        <w:t xml:space="preserve">25 </w:t>
      </w:r>
      <w:r w:rsidRPr="00144027">
        <w:rPr>
          <w:rFonts w:ascii="Times New Roman" w:eastAsia="Times New Roman" w:hAnsi="Times New Roman" w:cs="Times New Roman"/>
        </w:rPr>
        <w:fldChar w:fldCharType="end"/>
      </w:r>
      <w:bookmarkEnd w:id="30"/>
      <w:r w:rsidRPr="00144027">
        <w:rPr>
          <w:rFonts w:ascii="Times New Roman" w:eastAsia="Times New Roman" w:hAnsi="Times New Roman" w:cs="Times New Roman"/>
        </w:rPr>
        <w:t xml:space="preserve">  </w:t>
      </w:r>
      <w:bookmarkStart w:id="31" w:name="714"/>
      <w:r w:rsidRPr="00144027">
        <w:rPr>
          <w:rFonts w:ascii="Times New Roman" w:eastAsia="Times New Roman" w:hAnsi="Times New Roman" w:cs="Times New Roman"/>
          <w:color w:val="005500"/>
          <w:sz w:val="20"/>
          <w:szCs w:val="20"/>
        </w:rPr>
        <w:t xml:space="preserve">[435 U.S. 702, 714] </w:t>
      </w:r>
      <w:bookmarkEnd w:id="31"/>
      <w:r w:rsidRPr="00144027">
        <w:rPr>
          <w:rFonts w:ascii="Times New Roman" w:eastAsia="Times New Roman" w:hAnsi="Times New Roman" w:cs="Times New Roman"/>
          <w:color w:val="005500"/>
          <w:sz w:val="20"/>
          <w:szCs w:val="20"/>
        </w:rPr>
        <w:t xml:space="preserve">  </w:t>
      </w:r>
      <w:r w:rsidRPr="00144027">
        <w:rPr>
          <w:rFonts w:ascii="Times New Roman" w:eastAsia="Times New Roman" w:hAnsi="Times New Roman" w:cs="Times New Roman"/>
        </w:rPr>
        <w:t xml:space="preserve">Though he did not address differences in employee contributions based on sex, Senator Humphrey apparently assumed that the 1964 Act would have little, if any, impact on existing pension plans. His statement cannot, however, fairly be made the sole guide to interpreting the Equal Pay Act, which had been adopted a year earlier; and it is the 1963 statute, with its exceptions, on which the Department ultimately relies. We conclude that Senator Humphrey's isolated comment on the senate floor cannot change the effect of the plain language of the statute itself. </w:t>
      </w:r>
      <w:bookmarkStart w:id="32" w:name="t26"/>
      <w:r w:rsidRPr="00144027">
        <w:rPr>
          <w:rFonts w:ascii="Times New Roman" w:eastAsia="Times New Roman" w:hAnsi="Times New Roman" w:cs="Times New Roman"/>
        </w:rPr>
        <w:fldChar w:fldCharType="begin"/>
      </w:r>
      <w:r w:rsidRPr="00144027">
        <w:rPr>
          <w:rFonts w:ascii="Times New Roman" w:eastAsia="Times New Roman" w:hAnsi="Times New Roman" w:cs="Times New Roman"/>
        </w:rPr>
        <w:instrText xml:space="preserve"> HYPERLINK "https://caselaw.findlaw.com/us-supreme-court/435/702.html" \l "f26" </w:instrText>
      </w:r>
      <w:r w:rsidRPr="00144027">
        <w:rPr>
          <w:rFonts w:ascii="Times New Roman" w:eastAsia="Times New Roman" w:hAnsi="Times New Roman" w:cs="Times New Roman"/>
        </w:rPr>
        <w:fldChar w:fldCharType="separate"/>
      </w:r>
      <w:r w:rsidRPr="00144027">
        <w:rPr>
          <w:rFonts w:ascii="Times New Roman" w:eastAsia="Times New Roman" w:hAnsi="Times New Roman" w:cs="Times New Roman"/>
          <w:color w:val="0000FF"/>
          <w:u w:val="single"/>
        </w:rPr>
        <w:t xml:space="preserve">26 </w:t>
      </w:r>
      <w:r w:rsidRPr="00144027">
        <w:rPr>
          <w:rFonts w:ascii="Times New Roman" w:eastAsia="Times New Roman" w:hAnsi="Times New Roman" w:cs="Times New Roman"/>
        </w:rPr>
        <w:fldChar w:fldCharType="end"/>
      </w:r>
      <w:bookmarkEnd w:id="32"/>
      <w:r w:rsidRPr="00144027">
        <w:rPr>
          <w:rFonts w:ascii="Times New Roman" w:eastAsia="Times New Roman" w:hAnsi="Times New Roman" w:cs="Times New Roman"/>
        </w:rPr>
        <w:t xml:space="preserve">  </w:t>
      </w:r>
    </w:p>
    <w:p w14:paraId="13BD4C89" w14:textId="77777777" w:rsidR="00144027" w:rsidRPr="00144027" w:rsidRDefault="00144027" w:rsidP="00144027">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144027">
        <w:rPr>
          <w:rFonts w:ascii="Times New Roman" w:eastAsia="Times New Roman" w:hAnsi="Times New Roman" w:cs="Times New Roman"/>
          <w:b/>
          <w:bCs/>
          <w:sz w:val="27"/>
          <w:szCs w:val="27"/>
        </w:rPr>
        <w:t xml:space="preserve">III </w:t>
      </w:r>
    </w:p>
    <w:p w14:paraId="602DDE5D" w14:textId="77777777" w:rsidR="00144027" w:rsidRPr="00144027" w:rsidRDefault="00144027" w:rsidP="00144027">
      <w:pPr>
        <w:spacing w:before="100" w:beforeAutospacing="1" w:after="100" w:afterAutospacing="1" w:line="240" w:lineRule="auto"/>
        <w:rPr>
          <w:rFonts w:ascii="Times New Roman" w:eastAsia="Times New Roman" w:hAnsi="Times New Roman" w:cs="Times New Roman"/>
        </w:rPr>
      </w:pPr>
      <w:r w:rsidRPr="00144027">
        <w:rPr>
          <w:rFonts w:ascii="Times New Roman" w:eastAsia="Times New Roman" w:hAnsi="Times New Roman" w:cs="Times New Roman"/>
        </w:rPr>
        <w:t xml:space="preserve">The Department argues that reversal is required by General Electric Co. v. Gilbert, </w:t>
      </w:r>
      <w:hyperlink r:id="rId9" w:history="1">
        <w:r w:rsidRPr="00144027">
          <w:rPr>
            <w:rFonts w:ascii="Times New Roman" w:eastAsia="Times New Roman" w:hAnsi="Times New Roman" w:cs="Times New Roman"/>
            <w:color w:val="0000FF"/>
            <w:u w:val="single"/>
          </w:rPr>
          <w:t xml:space="preserve">429 U.S. 125 </w:t>
        </w:r>
      </w:hyperlink>
      <w:r w:rsidRPr="00144027">
        <w:rPr>
          <w:rFonts w:ascii="Times New Roman" w:eastAsia="Times New Roman" w:hAnsi="Times New Roman" w:cs="Times New Roman"/>
        </w:rPr>
        <w:t xml:space="preserve">. We are satisfied, </w:t>
      </w:r>
      <w:bookmarkStart w:id="33" w:name="715"/>
      <w:r w:rsidRPr="00144027">
        <w:rPr>
          <w:rFonts w:ascii="Times New Roman" w:eastAsia="Times New Roman" w:hAnsi="Times New Roman" w:cs="Times New Roman"/>
          <w:color w:val="005500"/>
          <w:sz w:val="20"/>
          <w:szCs w:val="20"/>
        </w:rPr>
        <w:t xml:space="preserve">[435 U.S. 702, 715] </w:t>
      </w:r>
      <w:bookmarkEnd w:id="33"/>
      <w:r w:rsidRPr="00144027">
        <w:rPr>
          <w:rFonts w:ascii="Times New Roman" w:eastAsia="Times New Roman" w:hAnsi="Times New Roman" w:cs="Times New Roman"/>
          <w:color w:val="005500"/>
          <w:sz w:val="20"/>
          <w:szCs w:val="20"/>
        </w:rPr>
        <w:t xml:space="preserve">  </w:t>
      </w:r>
      <w:r w:rsidRPr="00144027">
        <w:rPr>
          <w:rFonts w:ascii="Times New Roman" w:eastAsia="Times New Roman" w:hAnsi="Times New Roman" w:cs="Times New Roman"/>
        </w:rPr>
        <w:t xml:space="preserve">however, that neither the holding nor the reasoning of Gilbert is controlling. </w:t>
      </w:r>
    </w:p>
    <w:p w14:paraId="5AB87145" w14:textId="77777777" w:rsidR="00144027" w:rsidRPr="00144027" w:rsidRDefault="00144027" w:rsidP="00144027">
      <w:pPr>
        <w:spacing w:before="100" w:beforeAutospacing="1" w:after="100" w:afterAutospacing="1" w:line="240" w:lineRule="auto"/>
        <w:rPr>
          <w:rFonts w:ascii="Times New Roman" w:eastAsia="Times New Roman" w:hAnsi="Times New Roman" w:cs="Times New Roman"/>
        </w:rPr>
      </w:pPr>
      <w:r w:rsidRPr="00144027">
        <w:rPr>
          <w:rFonts w:ascii="Times New Roman" w:eastAsia="Times New Roman" w:hAnsi="Times New Roman" w:cs="Times New Roman"/>
        </w:rPr>
        <w:t xml:space="preserve">In Gilbert the Court held that the exclusion of pregnancy from an employer's disability benefit plan did not constitute sex discrimination within the meaning of Title VII. Relying on the </w:t>
      </w:r>
      <w:r w:rsidRPr="00144027">
        <w:rPr>
          <w:rFonts w:ascii="Times New Roman" w:eastAsia="Times New Roman" w:hAnsi="Times New Roman" w:cs="Times New Roman"/>
        </w:rPr>
        <w:lastRenderedPageBreak/>
        <w:t xml:space="preserve">reasoning in </w:t>
      </w:r>
      <w:proofErr w:type="spellStart"/>
      <w:r w:rsidRPr="00144027">
        <w:rPr>
          <w:rFonts w:ascii="Times New Roman" w:eastAsia="Times New Roman" w:hAnsi="Times New Roman" w:cs="Times New Roman"/>
        </w:rPr>
        <w:t>Geduldig</w:t>
      </w:r>
      <w:proofErr w:type="spellEnd"/>
      <w:r w:rsidRPr="00144027">
        <w:rPr>
          <w:rFonts w:ascii="Times New Roman" w:eastAsia="Times New Roman" w:hAnsi="Times New Roman" w:cs="Times New Roman"/>
        </w:rPr>
        <w:t xml:space="preserve"> v. Aiello, </w:t>
      </w:r>
      <w:hyperlink r:id="rId10" w:history="1">
        <w:r w:rsidRPr="00144027">
          <w:rPr>
            <w:rFonts w:ascii="Times New Roman" w:eastAsia="Times New Roman" w:hAnsi="Times New Roman" w:cs="Times New Roman"/>
            <w:color w:val="0000FF"/>
            <w:u w:val="single"/>
          </w:rPr>
          <w:t xml:space="preserve">417 U.S. 484 </w:t>
        </w:r>
      </w:hyperlink>
      <w:r w:rsidRPr="00144027">
        <w:rPr>
          <w:rFonts w:ascii="Times New Roman" w:eastAsia="Times New Roman" w:hAnsi="Times New Roman" w:cs="Times New Roman"/>
        </w:rPr>
        <w:t xml:space="preserve">, the Court first held that the General Electric plan did not involve "discrimination based upon gender as such." </w:t>
      </w:r>
      <w:bookmarkStart w:id="34" w:name="t27"/>
      <w:r w:rsidRPr="00144027">
        <w:rPr>
          <w:rFonts w:ascii="Times New Roman" w:eastAsia="Times New Roman" w:hAnsi="Times New Roman" w:cs="Times New Roman"/>
        </w:rPr>
        <w:fldChar w:fldCharType="begin"/>
      </w:r>
      <w:r w:rsidRPr="00144027">
        <w:rPr>
          <w:rFonts w:ascii="Times New Roman" w:eastAsia="Times New Roman" w:hAnsi="Times New Roman" w:cs="Times New Roman"/>
        </w:rPr>
        <w:instrText xml:space="preserve"> HYPERLINK "https://caselaw.findlaw.com/us-supreme-court/435/702.html" \l "f27" </w:instrText>
      </w:r>
      <w:r w:rsidRPr="00144027">
        <w:rPr>
          <w:rFonts w:ascii="Times New Roman" w:eastAsia="Times New Roman" w:hAnsi="Times New Roman" w:cs="Times New Roman"/>
        </w:rPr>
        <w:fldChar w:fldCharType="separate"/>
      </w:r>
      <w:r w:rsidRPr="00144027">
        <w:rPr>
          <w:rFonts w:ascii="Times New Roman" w:eastAsia="Times New Roman" w:hAnsi="Times New Roman" w:cs="Times New Roman"/>
          <w:color w:val="0000FF"/>
          <w:u w:val="single"/>
        </w:rPr>
        <w:t xml:space="preserve">27 </w:t>
      </w:r>
      <w:r w:rsidRPr="00144027">
        <w:rPr>
          <w:rFonts w:ascii="Times New Roman" w:eastAsia="Times New Roman" w:hAnsi="Times New Roman" w:cs="Times New Roman"/>
        </w:rPr>
        <w:fldChar w:fldCharType="end"/>
      </w:r>
      <w:bookmarkEnd w:id="34"/>
      <w:r w:rsidRPr="00144027">
        <w:rPr>
          <w:rFonts w:ascii="Times New Roman" w:eastAsia="Times New Roman" w:hAnsi="Times New Roman" w:cs="Times New Roman"/>
        </w:rPr>
        <w:t xml:space="preserve">The two groups of potential recipients which that case concerned were pregnant women and nonpregnant persons. "`While the first group is exclusively female, the second includes members of both sexes.'" </w:t>
      </w:r>
      <w:hyperlink r:id="rId11" w:anchor="135" w:history="1">
        <w:r w:rsidRPr="00144027">
          <w:rPr>
            <w:rFonts w:ascii="Times New Roman" w:eastAsia="Times New Roman" w:hAnsi="Times New Roman" w:cs="Times New Roman"/>
            <w:color w:val="0000FF"/>
            <w:u w:val="single"/>
          </w:rPr>
          <w:t xml:space="preserve">429 U.S., at 135 </w:t>
        </w:r>
      </w:hyperlink>
      <w:r w:rsidRPr="00144027">
        <w:rPr>
          <w:rFonts w:ascii="Times New Roman" w:eastAsia="Times New Roman" w:hAnsi="Times New Roman" w:cs="Times New Roman"/>
        </w:rPr>
        <w:t xml:space="preserve">. In contrast, each of the two groups of employees involved in this case is composed entirely and exclusively of members of the same sex. On its face, this plan discriminates </w:t>
      </w:r>
      <w:proofErr w:type="gramStart"/>
      <w:r w:rsidRPr="00144027">
        <w:rPr>
          <w:rFonts w:ascii="Times New Roman" w:eastAsia="Times New Roman" w:hAnsi="Times New Roman" w:cs="Times New Roman"/>
        </w:rPr>
        <w:t>on the basis of</w:t>
      </w:r>
      <w:proofErr w:type="gramEnd"/>
      <w:r w:rsidRPr="00144027">
        <w:rPr>
          <w:rFonts w:ascii="Times New Roman" w:eastAsia="Times New Roman" w:hAnsi="Times New Roman" w:cs="Times New Roman"/>
        </w:rPr>
        <w:t xml:space="preserve"> sex whereas the General Electric plan discriminated on the basis of a special physical disability. </w:t>
      </w:r>
    </w:p>
    <w:p w14:paraId="70DE5BF3" w14:textId="77777777" w:rsidR="00144027" w:rsidRPr="00144027" w:rsidRDefault="00144027" w:rsidP="00144027">
      <w:pPr>
        <w:spacing w:before="100" w:beforeAutospacing="1" w:after="100" w:afterAutospacing="1" w:line="240" w:lineRule="auto"/>
        <w:rPr>
          <w:rFonts w:ascii="Times New Roman" w:eastAsia="Times New Roman" w:hAnsi="Times New Roman" w:cs="Times New Roman"/>
        </w:rPr>
      </w:pPr>
      <w:r w:rsidRPr="00144027">
        <w:rPr>
          <w:rFonts w:ascii="Times New Roman" w:eastAsia="Times New Roman" w:hAnsi="Times New Roman" w:cs="Times New Roman"/>
        </w:rPr>
        <w:t xml:space="preserve">In Gilbert the Court did note that the plan as actually administered had provided more favorable benefits to women as a class than to men as a class. </w:t>
      </w:r>
      <w:bookmarkStart w:id="35" w:name="t28"/>
      <w:r w:rsidRPr="00144027">
        <w:rPr>
          <w:rFonts w:ascii="Times New Roman" w:eastAsia="Times New Roman" w:hAnsi="Times New Roman" w:cs="Times New Roman"/>
        </w:rPr>
        <w:fldChar w:fldCharType="begin"/>
      </w:r>
      <w:r w:rsidRPr="00144027">
        <w:rPr>
          <w:rFonts w:ascii="Times New Roman" w:eastAsia="Times New Roman" w:hAnsi="Times New Roman" w:cs="Times New Roman"/>
        </w:rPr>
        <w:instrText xml:space="preserve"> HYPERLINK "https://caselaw.findlaw.com/us-supreme-court/435/702.html" \l "f28" </w:instrText>
      </w:r>
      <w:r w:rsidRPr="00144027">
        <w:rPr>
          <w:rFonts w:ascii="Times New Roman" w:eastAsia="Times New Roman" w:hAnsi="Times New Roman" w:cs="Times New Roman"/>
        </w:rPr>
        <w:fldChar w:fldCharType="separate"/>
      </w:r>
      <w:r w:rsidRPr="00144027">
        <w:rPr>
          <w:rFonts w:ascii="Times New Roman" w:eastAsia="Times New Roman" w:hAnsi="Times New Roman" w:cs="Times New Roman"/>
          <w:color w:val="0000FF"/>
          <w:u w:val="single"/>
        </w:rPr>
        <w:t xml:space="preserve">28 </w:t>
      </w:r>
      <w:r w:rsidRPr="00144027">
        <w:rPr>
          <w:rFonts w:ascii="Times New Roman" w:eastAsia="Times New Roman" w:hAnsi="Times New Roman" w:cs="Times New Roman"/>
        </w:rPr>
        <w:fldChar w:fldCharType="end"/>
      </w:r>
      <w:bookmarkEnd w:id="35"/>
      <w:r w:rsidRPr="00144027">
        <w:rPr>
          <w:rFonts w:ascii="Times New Roman" w:eastAsia="Times New Roman" w:hAnsi="Times New Roman" w:cs="Times New Roman"/>
        </w:rPr>
        <w:t xml:space="preserve">This evidence supported the conclusion that not only had plaintiffs failed to establish a prima facie case by proving that the plan was discriminatory </w:t>
      </w:r>
      <w:bookmarkStart w:id="36" w:name="716"/>
      <w:r w:rsidRPr="00144027">
        <w:rPr>
          <w:rFonts w:ascii="Times New Roman" w:eastAsia="Times New Roman" w:hAnsi="Times New Roman" w:cs="Times New Roman"/>
          <w:color w:val="005500"/>
          <w:sz w:val="20"/>
          <w:szCs w:val="20"/>
        </w:rPr>
        <w:t xml:space="preserve">[435 U.S. 702, 716] </w:t>
      </w:r>
      <w:bookmarkEnd w:id="36"/>
      <w:r w:rsidRPr="00144027">
        <w:rPr>
          <w:rFonts w:ascii="Times New Roman" w:eastAsia="Times New Roman" w:hAnsi="Times New Roman" w:cs="Times New Roman"/>
          <w:color w:val="005500"/>
          <w:sz w:val="20"/>
          <w:szCs w:val="20"/>
        </w:rPr>
        <w:t xml:space="preserve">  </w:t>
      </w:r>
      <w:r w:rsidRPr="00144027">
        <w:rPr>
          <w:rFonts w:ascii="Times New Roman" w:eastAsia="Times New Roman" w:hAnsi="Times New Roman" w:cs="Times New Roman"/>
        </w:rPr>
        <w:t xml:space="preserve">on its face, but they had also failed to prove any discriminatory effect. </w:t>
      </w:r>
      <w:bookmarkStart w:id="37" w:name="t29"/>
      <w:r w:rsidRPr="00144027">
        <w:rPr>
          <w:rFonts w:ascii="Times New Roman" w:eastAsia="Times New Roman" w:hAnsi="Times New Roman" w:cs="Times New Roman"/>
        </w:rPr>
        <w:fldChar w:fldCharType="begin"/>
      </w:r>
      <w:r w:rsidRPr="00144027">
        <w:rPr>
          <w:rFonts w:ascii="Times New Roman" w:eastAsia="Times New Roman" w:hAnsi="Times New Roman" w:cs="Times New Roman"/>
        </w:rPr>
        <w:instrText xml:space="preserve"> HYPERLINK "https://caselaw.findlaw.com/us-supreme-court/435/702.html" \l "f29" </w:instrText>
      </w:r>
      <w:r w:rsidRPr="00144027">
        <w:rPr>
          <w:rFonts w:ascii="Times New Roman" w:eastAsia="Times New Roman" w:hAnsi="Times New Roman" w:cs="Times New Roman"/>
        </w:rPr>
        <w:fldChar w:fldCharType="separate"/>
      </w:r>
      <w:r w:rsidRPr="00144027">
        <w:rPr>
          <w:rFonts w:ascii="Times New Roman" w:eastAsia="Times New Roman" w:hAnsi="Times New Roman" w:cs="Times New Roman"/>
          <w:color w:val="0000FF"/>
          <w:u w:val="single"/>
        </w:rPr>
        <w:t xml:space="preserve">29 </w:t>
      </w:r>
      <w:r w:rsidRPr="00144027">
        <w:rPr>
          <w:rFonts w:ascii="Times New Roman" w:eastAsia="Times New Roman" w:hAnsi="Times New Roman" w:cs="Times New Roman"/>
        </w:rPr>
        <w:fldChar w:fldCharType="end"/>
      </w:r>
      <w:bookmarkEnd w:id="37"/>
      <w:r w:rsidRPr="00144027">
        <w:rPr>
          <w:rFonts w:ascii="Times New Roman" w:eastAsia="Times New Roman" w:hAnsi="Times New Roman" w:cs="Times New Roman"/>
        </w:rPr>
        <w:t xml:space="preserve">  </w:t>
      </w:r>
    </w:p>
    <w:p w14:paraId="1D7A6B19" w14:textId="77777777" w:rsidR="00144027" w:rsidRPr="00144027" w:rsidRDefault="00144027" w:rsidP="00144027">
      <w:pPr>
        <w:spacing w:before="100" w:beforeAutospacing="1" w:after="100" w:afterAutospacing="1" w:line="240" w:lineRule="auto"/>
        <w:rPr>
          <w:rFonts w:ascii="Times New Roman" w:eastAsia="Times New Roman" w:hAnsi="Times New Roman" w:cs="Times New Roman"/>
        </w:rPr>
      </w:pPr>
      <w:r w:rsidRPr="00144027">
        <w:rPr>
          <w:rFonts w:ascii="Times New Roman" w:eastAsia="Times New Roman" w:hAnsi="Times New Roman" w:cs="Times New Roman"/>
        </w:rPr>
        <w:t xml:space="preserve">In this case, however, the Department argues that the absence of a discriminatory effect on women as a class justifies an employment practice which, on its face, discriminated against individual employees because of their sex. But even if the Department's actuarial evidence is sufficient to prevent plaintiffs from establishing a prima facie case on the theory that the effect of the practice on women as a class was discriminatory, that evidence does not defeat the claim that the practice, on its face, discriminated against every individual woman employed by the Department. </w:t>
      </w:r>
      <w:bookmarkStart w:id="38" w:name="t30"/>
      <w:r w:rsidRPr="00144027">
        <w:rPr>
          <w:rFonts w:ascii="Times New Roman" w:eastAsia="Times New Roman" w:hAnsi="Times New Roman" w:cs="Times New Roman"/>
        </w:rPr>
        <w:fldChar w:fldCharType="begin"/>
      </w:r>
      <w:r w:rsidRPr="00144027">
        <w:rPr>
          <w:rFonts w:ascii="Times New Roman" w:eastAsia="Times New Roman" w:hAnsi="Times New Roman" w:cs="Times New Roman"/>
        </w:rPr>
        <w:instrText xml:space="preserve"> HYPERLINK "https://caselaw.findlaw.com/us-supreme-court/435/702.html" \l "f30" </w:instrText>
      </w:r>
      <w:r w:rsidRPr="00144027">
        <w:rPr>
          <w:rFonts w:ascii="Times New Roman" w:eastAsia="Times New Roman" w:hAnsi="Times New Roman" w:cs="Times New Roman"/>
        </w:rPr>
        <w:fldChar w:fldCharType="separate"/>
      </w:r>
      <w:r w:rsidRPr="00144027">
        <w:rPr>
          <w:rFonts w:ascii="Times New Roman" w:eastAsia="Times New Roman" w:hAnsi="Times New Roman" w:cs="Times New Roman"/>
          <w:color w:val="0000FF"/>
          <w:u w:val="single"/>
        </w:rPr>
        <w:t xml:space="preserve">30 </w:t>
      </w:r>
      <w:r w:rsidRPr="00144027">
        <w:rPr>
          <w:rFonts w:ascii="Times New Roman" w:eastAsia="Times New Roman" w:hAnsi="Times New Roman" w:cs="Times New Roman"/>
        </w:rPr>
        <w:fldChar w:fldCharType="end"/>
      </w:r>
      <w:bookmarkEnd w:id="38"/>
      <w:r w:rsidRPr="00144027">
        <w:rPr>
          <w:rFonts w:ascii="Times New Roman" w:eastAsia="Times New Roman" w:hAnsi="Times New Roman" w:cs="Times New Roman"/>
        </w:rPr>
        <w:t xml:space="preserve">  </w:t>
      </w:r>
    </w:p>
    <w:p w14:paraId="7C6B4E42" w14:textId="77777777" w:rsidR="00144027" w:rsidRPr="00144027" w:rsidRDefault="00144027" w:rsidP="00144027">
      <w:pPr>
        <w:spacing w:before="100" w:beforeAutospacing="1" w:after="100" w:afterAutospacing="1" w:line="240" w:lineRule="auto"/>
        <w:rPr>
          <w:rFonts w:ascii="Times New Roman" w:eastAsia="Times New Roman" w:hAnsi="Times New Roman" w:cs="Times New Roman"/>
        </w:rPr>
      </w:pPr>
      <w:r w:rsidRPr="00144027">
        <w:rPr>
          <w:rFonts w:ascii="Times New Roman" w:eastAsia="Times New Roman" w:hAnsi="Times New Roman" w:cs="Times New Roman"/>
        </w:rPr>
        <w:t xml:space="preserve">In essence, the Department is arguing that the prima facie showing of discrimination based on evidence of different contributions for the respective sexes is rebutted by its demonstration that there is a like difference in the cost of providing benefits for the respective classes. That argument might prevail if Title VII contained a cost-justification defense comparable to the affirmative defense available in a price discrimination </w:t>
      </w:r>
      <w:bookmarkStart w:id="39" w:name="717"/>
      <w:r w:rsidRPr="00144027">
        <w:rPr>
          <w:rFonts w:ascii="Times New Roman" w:eastAsia="Times New Roman" w:hAnsi="Times New Roman" w:cs="Times New Roman"/>
          <w:color w:val="005500"/>
          <w:sz w:val="20"/>
          <w:szCs w:val="20"/>
        </w:rPr>
        <w:t xml:space="preserve">[435 U.S. 702, 717] </w:t>
      </w:r>
      <w:bookmarkEnd w:id="39"/>
      <w:r w:rsidRPr="00144027">
        <w:rPr>
          <w:rFonts w:ascii="Times New Roman" w:eastAsia="Times New Roman" w:hAnsi="Times New Roman" w:cs="Times New Roman"/>
          <w:color w:val="005500"/>
          <w:sz w:val="20"/>
          <w:szCs w:val="20"/>
        </w:rPr>
        <w:t xml:space="preserve">  </w:t>
      </w:r>
      <w:r w:rsidRPr="00144027">
        <w:rPr>
          <w:rFonts w:ascii="Times New Roman" w:eastAsia="Times New Roman" w:hAnsi="Times New Roman" w:cs="Times New Roman"/>
        </w:rPr>
        <w:t xml:space="preserve">suit. </w:t>
      </w:r>
      <w:bookmarkStart w:id="40" w:name="t31"/>
      <w:r w:rsidRPr="00144027">
        <w:rPr>
          <w:rFonts w:ascii="Times New Roman" w:eastAsia="Times New Roman" w:hAnsi="Times New Roman" w:cs="Times New Roman"/>
        </w:rPr>
        <w:fldChar w:fldCharType="begin"/>
      </w:r>
      <w:r w:rsidRPr="00144027">
        <w:rPr>
          <w:rFonts w:ascii="Times New Roman" w:eastAsia="Times New Roman" w:hAnsi="Times New Roman" w:cs="Times New Roman"/>
        </w:rPr>
        <w:instrText xml:space="preserve"> HYPERLINK "https://caselaw.findlaw.com/us-supreme-court/435/702.html" \l "f31" </w:instrText>
      </w:r>
      <w:r w:rsidRPr="00144027">
        <w:rPr>
          <w:rFonts w:ascii="Times New Roman" w:eastAsia="Times New Roman" w:hAnsi="Times New Roman" w:cs="Times New Roman"/>
        </w:rPr>
        <w:fldChar w:fldCharType="separate"/>
      </w:r>
      <w:r w:rsidRPr="00144027">
        <w:rPr>
          <w:rFonts w:ascii="Times New Roman" w:eastAsia="Times New Roman" w:hAnsi="Times New Roman" w:cs="Times New Roman"/>
          <w:color w:val="0000FF"/>
          <w:u w:val="single"/>
        </w:rPr>
        <w:t xml:space="preserve">31 </w:t>
      </w:r>
      <w:r w:rsidRPr="00144027">
        <w:rPr>
          <w:rFonts w:ascii="Times New Roman" w:eastAsia="Times New Roman" w:hAnsi="Times New Roman" w:cs="Times New Roman"/>
        </w:rPr>
        <w:fldChar w:fldCharType="end"/>
      </w:r>
      <w:bookmarkEnd w:id="40"/>
      <w:r w:rsidRPr="00144027">
        <w:rPr>
          <w:rFonts w:ascii="Times New Roman" w:eastAsia="Times New Roman" w:hAnsi="Times New Roman" w:cs="Times New Roman"/>
        </w:rPr>
        <w:t xml:space="preserve">But neither Congress nor the courts have recognized such a defense under Title VII. </w:t>
      </w:r>
      <w:bookmarkStart w:id="41" w:name="t32"/>
      <w:r w:rsidRPr="00144027">
        <w:rPr>
          <w:rFonts w:ascii="Times New Roman" w:eastAsia="Times New Roman" w:hAnsi="Times New Roman" w:cs="Times New Roman"/>
        </w:rPr>
        <w:fldChar w:fldCharType="begin"/>
      </w:r>
      <w:r w:rsidRPr="00144027">
        <w:rPr>
          <w:rFonts w:ascii="Times New Roman" w:eastAsia="Times New Roman" w:hAnsi="Times New Roman" w:cs="Times New Roman"/>
        </w:rPr>
        <w:instrText xml:space="preserve"> HYPERLINK "https://caselaw.findlaw.com/us-supreme-court/435/702.html" \l "f32" </w:instrText>
      </w:r>
      <w:r w:rsidRPr="00144027">
        <w:rPr>
          <w:rFonts w:ascii="Times New Roman" w:eastAsia="Times New Roman" w:hAnsi="Times New Roman" w:cs="Times New Roman"/>
        </w:rPr>
        <w:fldChar w:fldCharType="separate"/>
      </w:r>
      <w:r w:rsidRPr="00144027">
        <w:rPr>
          <w:rFonts w:ascii="Times New Roman" w:eastAsia="Times New Roman" w:hAnsi="Times New Roman" w:cs="Times New Roman"/>
          <w:color w:val="0000FF"/>
          <w:u w:val="single"/>
        </w:rPr>
        <w:t xml:space="preserve">32 </w:t>
      </w:r>
      <w:r w:rsidRPr="00144027">
        <w:rPr>
          <w:rFonts w:ascii="Times New Roman" w:eastAsia="Times New Roman" w:hAnsi="Times New Roman" w:cs="Times New Roman"/>
        </w:rPr>
        <w:fldChar w:fldCharType="end"/>
      </w:r>
      <w:bookmarkEnd w:id="41"/>
      <w:r w:rsidRPr="00144027">
        <w:rPr>
          <w:rFonts w:ascii="Times New Roman" w:eastAsia="Times New Roman" w:hAnsi="Times New Roman" w:cs="Times New Roman"/>
        </w:rPr>
        <w:t xml:space="preserve">  </w:t>
      </w:r>
    </w:p>
    <w:p w14:paraId="3BA63250" w14:textId="77777777" w:rsidR="00144027" w:rsidRPr="00144027" w:rsidRDefault="00144027" w:rsidP="00144027">
      <w:pPr>
        <w:spacing w:before="100" w:beforeAutospacing="1" w:after="100" w:afterAutospacing="1" w:line="240" w:lineRule="auto"/>
        <w:rPr>
          <w:rFonts w:ascii="Times New Roman" w:eastAsia="Times New Roman" w:hAnsi="Times New Roman" w:cs="Times New Roman"/>
        </w:rPr>
      </w:pPr>
      <w:r w:rsidRPr="00144027">
        <w:rPr>
          <w:rFonts w:ascii="Times New Roman" w:eastAsia="Times New Roman" w:hAnsi="Times New Roman" w:cs="Times New Roman"/>
        </w:rPr>
        <w:t xml:space="preserve">Although we conclude that the Department's practice violated Title VII, we do not suggest that the statute was intended to revolutionize the insurance and pension industries. All that is at issue today is a requirement that men and women make unequal contributions to an employer-operated pension fund. Nothing in our holding implies that it would be unlawful for an employer to set aside equal retirement contributions for each employee and let each retiree purchase the largest benefit which his or her accumulated contributions could command </w:t>
      </w:r>
      <w:bookmarkStart w:id="42" w:name="718"/>
      <w:r w:rsidRPr="00144027">
        <w:rPr>
          <w:rFonts w:ascii="Times New Roman" w:eastAsia="Times New Roman" w:hAnsi="Times New Roman" w:cs="Times New Roman"/>
          <w:color w:val="005500"/>
          <w:sz w:val="20"/>
          <w:szCs w:val="20"/>
        </w:rPr>
        <w:t xml:space="preserve">[435 U.S. 702, 718] </w:t>
      </w:r>
      <w:bookmarkEnd w:id="42"/>
      <w:r w:rsidRPr="00144027">
        <w:rPr>
          <w:rFonts w:ascii="Times New Roman" w:eastAsia="Times New Roman" w:hAnsi="Times New Roman" w:cs="Times New Roman"/>
          <w:color w:val="005500"/>
          <w:sz w:val="20"/>
          <w:szCs w:val="20"/>
        </w:rPr>
        <w:t xml:space="preserve">  </w:t>
      </w:r>
      <w:r w:rsidRPr="00144027">
        <w:rPr>
          <w:rFonts w:ascii="Times New Roman" w:eastAsia="Times New Roman" w:hAnsi="Times New Roman" w:cs="Times New Roman"/>
        </w:rPr>
        <w:t xml:space="preserve">in the open market. </w:t>
      </w:r>
      <w:bookmarkStart w:id="43" w:name="t33"/>
      <w:r w:rsidRPr="00144027">
        <w:rPr>
          <w:rFonts w:ascii="Times New Roman" w:eastAsia="Times New Roman" w:hAnsi="Times New Roman" w:cs="Times New Roman"/>
        </w:rPr>
        <w:fldChar w:fldCharType="begin"/>
      </w:r>
      <w:r w:rsidRPr="00144027">
        <w:rPr>
          <w:rFonts w:ascii="Times New Roman" w:eastAsia="Times New Roman" w:hAnsi="Times New Roman" w:cs="Times New Roman"/>
        </w:rPr>
        <w:instrText xml:space="preserve"> HYPERLINK "https://caselaw.findlaw.com/us-supreme-court/435/702.html" \l "f33" </w:instrText>
      </w:r>
      <w:r w:rsidRPr="00144027">
        <w:rPr>
          <w:rFonts w:ascii="Times New Roman" w:eastAsia="Times New Roman" w:hAnsi="Times New Roman" w:cs="Times New Roman"/>
        </w:rPr>
        <w:fldChar w:fldCharType="separate"/>
      </w:r>
      <w:r w:rsidRPr="00144027">
        <w:rPr>
          <w:rFonts w:ascii="Times New Roman" w:eastAsia="Times New Roman" w:hAnsi="Times New Roman" w:cs="Times New Roman"/>
          <w:color w:val="0000FF"/>
          <w:u w:val="single"/>
        </w:rPr>
        <w:t xml:space="preserve">33 </w:t>
      </w:r>
      <w:r w:rsidRPr="00144027">
        <w:rPr>
          <w:rFonts w:ascii="Times New Roman" w:eastAsia="Times New Roman" w:hAnsi="Times New Roman" w:cs="Times New Roman"/>
        </w:rPr>
        <w:fldChar w:fldCharType="end"/>
      </w:r>
      <w:bookmarkEnd w:id="43"/>
      <w:r w:rsidRPr="00144027">
        <w:rPr>
          <w:rFonts w:ascii="Times New Roman" w:eastAsia="Times New Roman" w:hAnsi="Times New Roman" w:cs="Times New Roman"/>
        </w:rPr>
        <w:t xml:space="preserve">Nor does it call into question the insurance industry practice of considering the composition of an employer's work force in determining the probable cost of a retirement or death benefit plan. </w:t>
      </w:r>
      <w:bookmarkStart w:id="44" w:name="t34"/>
      <w:r w:rsidRPr="00144027">
        <w:rPr>
          <w:rFonts w:ascii="Times New Roman" w:eastAsia="Times New Roman" w:hAnsi="Times New Roman" w:cs="Times New Roman"/>
        </w:rPr>
        <w:fldChar w:fldCharType="begin"/>
      </w:r>
      <w:r w:rsidRPr="00144027">
        <w:rPr>
          <w:rFonts w:ascii="Times New Roman" w:eastAsia="Times New Roman" w:hAnsi="Times New Roman" w:cs="Times New Roman"/>
        </w:rPr>
        <w:instrText xml:space="preserve"> HYPERLINK "https://caselaw.findlaw.com/us-supreme-court/435/702.html" \l "f34" </w:instrText>
      </w:r>
      <w:r w:rsidRPr="00144027">
        <w:rPr>
          <w:rFonts w:ascii="Times New Roman" w:eastAsia="Times New Roman" w:hAnsi="Times New Roman" w:cs="Times New Roman"/>
        </w:rPr>
        <w:fldChar w:fldCharType="separate"/>
      </w:r>
      <w:r w:rsidRPr="00144027">
        <w:rPr>
          <w:rFonts w:ascii="Times New Roman" w:eastAsia="Times New Roman" w:hAnsi="Times New Roman" w:cs="Times New Roman"/>
          <w:color w:val="0000FF"/>
          <w:u w:val="single"/>
        </w:rPr>
        <w:t xml:space="preserve">34 </w:t>
      </w:r>
      <w:r w:rsidRPr="00144027">
        <w:rPr>
          <w:rFonts w:ascii="Times New Roman" w:eastAsia="Times New Roman" w:hAnsi="Times New Roman" w:cs="Times New Roman"/>
        </w:rPr>
        <w:fldChar w:fldCharType="end"/>
      </w:r>
      <w:bookmarkEnd w:id="44"/>
      <w:r w:rsidRPr="00144027">
        <w:rPr>
          <w:rFonts w:ascii="Times New Roman" w:eastAsia="Times New Roman" w:hAnsi="Times New Roman" w:cs="Times New Roman"/>
        </w:rPr>
        <w:t xml:space="preserve">Finally, we recognize that in a case of this kind it may be necessary to take special care in fashioning appropriate relief. </w:t>
      </w:r>
    </w:p>
    <w:p w14:paraId="71E4F61C" w14:textId="77777777" w:rsidR="00144027" w:rsidRPr="00144027" w:rsidRDefault="00144027" w:rsidP="00144027">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144027">
        <w:rPr>
          <w:rFonts w:ascii="Times New Roman" w:eastAsia="Times New Roman" w:hAnsi="Times New Roman" w:cs="Times New Roman"/>
          <w:b/>
          <w:bCs/>
          <w:sz w:val="27"/>
          <w:szCs w:val="27"/>
        </w:rPr>
        <w:t xml:space="preserve">IV </w:t>
      </w:r>
    </w:p>
    <w:p w14:paraId="77C28236" w14:textId="77777777" w:rsidR="00144027" w:rsidRPr="00144027" w:rsidRDefault="00144027" w:rsidP="00144027">
      <w:pPr>
        <w:spacing w:before="100" w:beforeAutospacing="1" w:after="100" w:afterAutospacing="1" w:line="240" w:lineRule="auto"/>
        <w:rPr>
          <w:rFonts w:ascii="Times New Roman" w:eastAsia="Times New Roman" w:hAnsi="Times New Roman" w:cs="Times New Roman"/>
        </w:rPr>
      </w:pPr>
      <w:r w:rsidRPr="00144027">
        <w:rPr>
          <w:rFonts w:ascii="Times New Roman" w:eastAsia="Times New Roman" w:hAnsi="Times New Roman" w:cs="Times New Roman"/>
        </w:rPr>
        <w:t xml:space="preserve">The Department challenges the District Court's award of retroactive relief to the entire class of female employees and retirees. Title VII does not require a district court to grant any retroactive relief. A court that finds unlawful discrimination "may enjoin [the discrimination] . . . and order such affirmative action as may be appropriate, which may include, but is not limited to, </w:t>
      </w:r>
      <w:r w:rsidRPr="00144027">
        <w:rPr>
          <w:rFonts w:ascii="Times New Roman" w:eastAsia="Times New Roman" w:hAnsi="Times New Roman" w:cs="Times New Roman"/>
        </w:rPr>
        <w:lastRenderedPageBreak/>
        <w:t xml:space="preserve">reinstatement . . . with or without back pay . . . or any other equitable relief as the court deems appropriate." 42 U.S.C. </w:t>
      </w:r>
      <w:proofErr w:type="spellStart"/>
      <w:r w:rsidRPr="00144027">
        <w:rPr>
          <w:rFonts w:ascii="Times New Roman" w:eastAsia="Times New Roman" w:hAnsi="Times New Roman" w:cs="Times New Roman"/>
        </w:rPr>
        <w:t>2000e</w:t>
      </w:r>
      <w:proofErr w:type="spellEnd"/>
      <w:r w:rsidRPr="00144027">
        <w:rPr>
          <w:rFonts w:ascii="Times New Roman" w:eastAsia="Times New Roman" w:hAnsi="Times New Roman" w:cs="Times New Roman"/>
        </w:rPr>
        <w:t xml:space="preserve">-5 (g) (1970 ed., Supp. V). </w:t>
      </w:r>
      <w:bookmarkStart w:id="45" w:name="719"/>
      <w:r w:rsidRPr="00144027">
        <w:rPr>
          <w:rFonts w:ascii="Times New Roman" w:eastAsia="Times New Roman" w:hAnsi="Times New Roman" w:cs="Times New Roman"/>
          <w:color w:val="005500"/>
          <w:sz w:val="20"/>
          <w:szCs w:val="20"/>
        </w:rPr>
        <w:t xml:space="preserve">[435 U.S. 702, 719] </w:t>
      </w:r>
      <w:bookmarkEnd w:id="45"/>
      <w:r w:rsidRPr="00144027">
        <w:rPr>
          <w:rFonts w:ascii="Times New Roman" w:eastAsia="Times New Roman" w:hAnsi="Times New Roman" w:cs="Times New Roman"/>
          <w:color w:val="005500"/>
          <w:sz w:val="20"/>
          <w:szCs w:val="20"/>
        </w:rPr>
        <w:t xml:space="preserve">  </w:t>
      </w:r>
      <w:r w:rsidRPr="00144027">
        <w:rPr>
          <w:rFonts w:ascii="Times New Roman" w:eastAsia="Times New Roman" w:hAnsi="Times New Roman" w:cs="Times New Roman"/>
        </w:rPr>
        <w:t xml:space="preserve">To the point of redundancy, the statute stresses that retroactive relief "may" be awarded if it is "appropriate." </w:t>
      </w:r>
    </w:p>
    <w:p w14:paraId="7C0A3D23" w14:textId="77777777" w:rsidR="00144027" w:rsidRPr="00144027" w:rsidRDefault="00144027" w:rsidP="00144027">
      <w:pPr>
        <w:spacing w:before="100" w:beforeAutospacing="1" w:after="100" w:afterAutospacing="1" w:line="240" w:lineRule="auto"/>
        <w:rPr>
          <w:rFonts w:ascii="Times New Roman" w:eastAsia="Times New Roman" w:hAnsi="Times New Roman" w:cs="Times New Roman"/>
        </w:rPr>
      </w:pPr>
      <w:r w:rsidRPr="00144027">
        <w:rPr>
          <w:rFonts w:ascii="Times New Roman" w:eastAsia="Times New Roman" w:hAnsi="Times New Roman" w:cs="Times New Roman"/>
        </w:rPr>
        <w:t xml:space="preserve">In Albemarle Paper Co. v. Moody, </w:t>
      </w:r>
      <w:hyperlink r:id="rId12" w:history="1">
        <w:r w:rsidRPr="00144027">
          <w:rPr>
            <w:rFonts w:ascii="Times New Roman" w:eastAsia="Times New Roman" w:hAnsi="Times New Roman" w:cs="Times New Roman"/>
            <w:color w:val="0000FF"/>
            <w:u w:val="single"/>
          </w:rPr>
          <w:t xml:space="preserve">422 U.S. 405 </w:t>
        </w:r>
      </w:hyperlink>
      <w:r w:rsidRPr="00144027">
        <w:rPr>
          <w:rFonts w:ascii="Times New Roman" w:eastAsia="Times New Roman" w:hAnsi="Times New Roman" w:cs="Times New Roman"/>
        </w:rPr>
        <w:t xml:space="preserve">, the Court reviewed the scope of a district court's discretion to fashion appropriate remedies for a Title VII violation and concluded that "backpay should be denied only for reasons which, if applied generally, would not frustrate the central statutory purposes of eradicating discrimination throughout the economy and making persons whole for injuries suffered through past discrimination." Id., at 421. Applying that standard, the Court ruled that an award of backpay should not be conditioned on a showing of bad faith. Id., at 422-423. But the Albemarle Court also held that backpay was not to be awarded automatically in every case. </w:t>
      </w:r>
      <w:bookmarkStart w:id="46" w:name="t35"/>
      <w:r w:rsidRPr="00144027">
        <w:rPr>
          <w:rFonts w:ascii="Times New Roman" w:eastAsia="Times New Roman" w:hAnsi="Times New Roman" w:cs="Times New Roman"/>
        </w:rPr>
        <w:fldChar w:fldCharType="begin"/>
      </w:r>
      <w:r w:rsidRPr="00144027">
        <w:rPr>
          <w:rFonts w:ascii="Times New Roman" w:eastAsia="Times New Roman" w:hAnsi="Times New Roman" w:cs="Times New Roman"/>
        </w:rPr>
        <w:instrText xml:space="preserve"> HYPERLINK "https://caselaw.findlaw.com/us-supreme-court/435/702.html" \l "f35" </w:instrText>
      </w:r>
      <w:r w:rsidRPr="00144027">
        <w:rPr>
          <w:rFonts w:ascii="Times New Roman" w:eastAsia="Times New Roman" w:hAnsi="Times New Roman" w:cs="Times New Roman"/>
        </w:rPr>
        <w:fldChar w:fldCharType="separate"/>
      </w:r>
      <w:r w:rsidRPr="00144027">
        <w:rPr>
          <w:rFonts w:ascii="Times New Roman" w:eastAsia="Times New Roman" w:hAnsi="Times New Roman" w:cs="Times New Roman"/>
          <w:color w:val="0000FF"/>
          <w:u w:val="single"/>
        </w:rPr>
        <w:t xml:space="preserve">35 </w:t>
      </w:r>
      <w:r w:rsidRPr="00144027">
        <w:rPr>
          <w:rFonts w:ascii="Times New Roman" w:eastAsia="Times New Roman" w:hAnsi="Times New Roman" w:cs="Times New Roman"/>
        </w:rPr>
        <w:fldChar w:fldCharType="end"/>
      </w:r>
      <w:bookmarkEnd w:id="46"/>
      <w:r w:rsidRPr="00144027">
        <w:rPr>
          <w:rFonts w:ascii="Times New Roman" w:eastAsia="Times New Roman" w:hAnsi="Times New Roman" w:cs="Times New Roman"/>
        </w:rPr>
        <w:t xml:space="preserve">  </w:t>
      </w:r>
    </w:p>
    <w:p w14:paraId="2FD85ABB" w14:textId="77777777" w:rsidR="00144027" w:rsidRPr="00144027" w:rsidRDefault="00144027" w:rsidP="00144027">
      <w:pPr>
        <w:spacing w:before="100" w:beforeAutospacing="1" w:after="100" w:afterAutospacing="1" w:line="240" w:lineRule="auto"/>
        <w:rPr>
          <w:rFonts w:ascii="Times New Roman" w:eastAsia="Times New Roman" w:hAnsi="Times New Roman" w:cs="Times New Roman"/>
        </w:rPr>
      </w:pPr>
      <w:r w:rsidRPr="00144027">
        <w:rPr>
          <w:rFonts w:ascii="Times New Roman" w:eastAsia="Times New Roman" w:hAnsi="Times New Roman" w:cs="Times New Roman"/>
        </w:rPr>
        <w:t xml:space="preserve">The Albemarle presumption in favor of retroactive liability can seldom be overcome, but it does not make meaningless the district courts' duty to determine that such relief is appropriate. For several reasons, we conclude that the District Court gave insufficient attention to the equitable nature of Title VII remedies. </w:t>
      </w:r>
      <w:bookmarkStart w:id="47" w:name="t36"/>
      <w:r w:rsidRPr="00144027">
        <w:rPr>
          <w:rFonts w:ascii="Times New Roman" w:eastAsia="Times New Roman" w:hAnsi="Times New Roman" w:cs="Times New Roman"/>
        </w:rPr>
        <w:fldChar w:fldCharType="begin"/>
      </w:r>
      <w:r w:rsidRPr="00144027">
        <w:rPr>
          <w:rFonts w:ascii="Times New Roman" w:eastAsia="Times New Roman" w:hAnsi="Times New Roman" w:cs="Times New Roman"/>
        </w:rPr>
        <w:instrText xml:space="preserve"> HYPERLINK "https://caselaw.findlaw.com/us-supreme-court/435/702.html" \l "f36" </w:instrText>
      </w:r>
      <w:r w:rsidRPr="00144027">
        <w:rPr>
          <w:rFonts w:ascii="Times New Roman" w:eastAsia="Times New Roman" w:hAnsi="Times New Roman" w:cs="Times New Roman"/>
        </w:rPr>
        <w:fldChar w:fldCharType="separate"/>
      </w:r>
      <w:r w:rsidRPr="00144027">
        <w:rPr>
          <w:rFonts w:ascii="Times New Roman" w:eastAsia="Times New Roman" w:hAnsi="Times New Roman" w:cs="Times New Roman"/>
          <w:color w:val="0000FF"/>
          <w:u w:val="single"/>
        </w:rPr>
        <w:t xml:space="preserve">36 </w:t>
      </w:r>
      <w:r w:rsidRPr="00144027">
        <w:rPr>
          <w:rFonts w:ascii="Times New Roman" w:eastAsia="Times New Roman" w:hAnsi="Times New Roman" w:cs="Times New Roman"/>
        </w:rPr>
        <w:fldChar w:fldCharType="end"/>
      </w:r>
      <w:bookmarkEnd w:id="47"/>
      <w:r w:rsidRPr="00144027">
        <w:rPr>
          <w:rFonts w:ascii="Times New Roman" w:eastAsia="Times New Roman" w:hAnsi="Times New Roman" w:cs="Times New Roman"/>
        </w:rPr>
        <w:t xml:space="preserve">Although we now have no doubt about </w:t>
      </w:r>
      <w:r w:rsidRPr="00144027">
        <w:rPr>
          <w:rFonts w:ascii="Times New Roman" w:eastAsia="Times New Roman" w:hAnsi="Times New Roman" w:cs="Times New Roman"/>
          <w:color w:val="005500"/>
          <w:sz w:val="20"/>
          <w:szCs w:val="20"/>
        </w:rPr>
        <w:t xml:space="preserve">[435 U.S. 702, 720]   </w:t>
      </w:r>
      <w:r w:rsidRPr="00144027">
        <w:rPr>
          <w:rFonts w:ascii="Times New Roman" w:eastAsia="Times New Roman" w:hAnsi="Times New Roman" w:cs="Times New Roman"/>
        </w:rPr>
        <w:t xml:space="preserve">the application of the statute in this case, we must recognize that conscientious and intelligent administrators of pension funds, who did not have the benefit of the extensive briefs and arguments presented to us, may well have assumed that a program like the Department's was entirely lawful. the courts had been silent on the question, and the administrative agencies had conflicting views. </w:t>
      </w:r>
      <w:bookmarkStart w:id="48" w:name="t37"/>
      <w:r w:rsidRPr="00144027">
        <w:rPr>
          <w:rFonts w:ascii="Times New Roman" w:eastAsia="Times New Roman" w:hAnsi="Times New Roman" w:cs="Times New Roman"/>
        </w:rPr>
        <w:fldChar w:fldCharType="begin"/>
      </w:r>
      <w:r w:rsidRPr="00144027">
        <w:rPr>
          <w:rFonts w:ascii="Times New Roman" w:eastAsia="Times New Roman" w:hAnsi="Times New Roman" w:cs="Times New Roman"/>
        </w:rPr>
        <w:instrText xml:space="preserve"> HYPERLINK "https://caselaw.findlaw.com/us-supreme-court/435/702.html" \l "f37" </w:instrText>
      </w:r>
      <w:r w:rsidRPr="00144027">
        <w:rPr>
          <w:rFonts w:ascii="Times New Roman" w:eastAsia="Times New Roman" w:hAnsi="Times New Roman" w:cs="Times New Roman"/>
        </w:rPr>
        <w:fldChar w:fldCharType="separate"/>
      </w:r>
      <w:r w:rsidRPr="00144027">
        <w:rPr>
          <w:rFonts w:ascii="Times New Roman" w:eastAsia="Times New Roman" w:hAnsi="Times New Roman" w:cs="Times New Roman"/>
          <w:color w:val="0000FF"/>
          <w:u w:val="single"/>
        </w:rPr>
        <w:t xml:space="preserve">37 </w:t>
      </w:r>
      <w:r w:rsidRPr="00144027">
        <w:rPr>
          <w:rFonts w:ascii="Times New Roman" w:eastAsia="Times New Roman" w:hAnsi="Times New Roman" w:cs="Times New Roman"/>
        </w:rPr>
        <w:fldChar w:fldCharType="end"/>
      </w:r>
      <w:bookmarkEnd w:id="48"/>
      <w:r w:rsidRPr="00144027">
        <w:rPr>
          <w:rFonts w:ascii="Times New Roman" w:eastAsia="Times New Roman" w:hAnsi="Times New Roman" w:cs="Times New Roman"/>
        </w:rPr>
        <w:t xml:space="preserve">The Department's failure to act more swiftly is a sign, not of its recalcitrance, but of the problem's complexity. As commentators have noted, pension administrators could reasonably have thought it unfair - or even illegal - to make male </w:t>
      </w:r>
      <w:proofErr w:type="gramStart"/>
      <w:r w:rsidRPr="00144027">
        <w:rPr>
          <w:rFonts w:ascii="Times New Roman" w:eastAsia="Times New Roman" w:hAnsi="Times New Roman" w:cs="Times New Roman"/>
        </w:rPr>
        <w:t>employees</w:t>
      </w:r>
      <w:proofErr w:type="gramEnd"/>
      <w:r w:rsidRPr="00144027">
        <w:rPr>
          <w:rFonts w:ascii="Times New Roman" w:eastAsia="Times New Roman" w:hAnsi="Times New Roman" w:cs="Times New Roman"/>
        </w:rPr>
        <w:t xml:space="preserve"> shoulder more than their "actuarial share" of the pension burden. </w:t>
      </w:r>
      <w:bookmarkStart w:id="49" w:name="t38"/>
      <w:r w:rsidRPr="00144027">
        <w:rPr>
          <w:rFonts w:ascii="Times New Roman" w:eastAsia="Times New Roman" w:hAnsi="Times New Roman" w:cs="Times New Roman"/>
        </w:rPr>
        <w:fldChar w:fldCharType="begin"/>
      </w:r>
      <w:r w:rsidRPr="00144027">
        <w:rPr>
          <w:rFonts w:ascii="Times New Roman" w:eastAsia="Times New Roman" w:hAnsi="Times New Roman" w:cs="Times New Roman"/>
        </w:rPr>
        <w:instrText xml:space="preserve"> HYPERLINK "https://caselaw.findlaw.com/us-supreme-court/435/702.html" \l "f38" </w:instrText>
      </w:r>
      <w:r w:rsidRPr="00144027">
        <w:rPr>
          <w:rFonts w:ascii="Times New Roman" w:eastAsia="Times New Roman" w:hAnsi="Times New Roman" w:cs="Times New Roman"/>
        </w:rPr>
        <w:fldChar w:fldCharType="separate"/>
      </w:r>
      <w:r w:rsidRPr="00144027">
        <w:rPr>
          <w:rFonts w:ascii="Times New Roman" w:eastAsia="Times New Roman" w:hAnsi="Times New Roman" w:cs="Times New Roman"/>
          <w:color w:val="0000FF"/>
          <w:u w:val="single"/>
        </w:rPr>
        <w:t xml:space="preserve">38 </w:t>
      </w:r>
      <w:r w:rsidRPr="00144027">
        <w:rPr>
          <w:rFonts w:ascii="Times New Roman" w:eastAsia="Times New Roman" w:hAnsi="Times New Roman" w:cs="Times New Roman"/>
        </w:rPr>
        <w:fldChar w:fldCharType="end"/>
      </w:r>
      <w:bookmarkEnd w:id="49"/>
      <w:r w:rsidRPr="00144027">
        <w:rPr>
          <w:rFonts w:ascii="Times New Roman" w:eastAsia="Times New Roman" w:hAnsi="Times New Roman" w:cs="Times New Roman"/>
        </w:rPr>
        <w:t xml:space="preserve">There is no </w:t>
      </w:r>
      <w:r w:rsidRPr="00144027">
        <w:rPr>
          <w:rFonts w:ascii="Times New Roman" w:eastAsia="Times New Roman" w:hAnsi="Times New Roman" w:cs="Times New Roman"/>
          <w:color w:val="005500"/>
          <w:sz w:val="20"/>
          <w:szCs w:val="20"/>
        </w:rPr>
        <w:t xml:space="preserve">[435 U.S. 702, 721]   </w:t>
      </w:r>
      <w:r w:rsidRPr="00144027">
        <w:rPr>
          <w:rFonts w:ascii="Times New Roman" w:eastAsia="Times New Roman" w:hAnsi="Times New Roman" w:cs="Times New Roman"/>
        </w:rPr>
        <w:t xml:space="preserve">reason to believe that the threat of a backpay award is needed to cause other administrators to amend their practices to conform to this decision. </w:t>
      </w:r>
    </w:p>
    <w:p w14:paraId="1A1D8AE2" w14:textId="77777777" w:rsidR="00144027" w:rsidRPr="00144027" w:rsidRDefault="00144027" w:rsidP="00144027">
      <w:pPr>
        <w:spacing w:before="100" w:beforeAutospacing="1" w:after="100" w:afterAutospacing="1" w:line="240" w:lineRule="auto"/>
        <w:rPr>
          <w:rFonts w:ascii="Times New Roman" w:eastAsia="Times New Roman" w:hAnsi="Times New Roman" w:cs="Times New Roman"/>
        </w:rPr>
      </w:pPr>
      <w:r w:rsidRPr="00144027">
        <w:rPr>
          <w:rFonts w:ascii="Times New Roman" w:eastAsia="Times New Roman" w:hAnsi="Times New Roman" w:cs="Times New Roman"/>
        </w:rPr>
        <w:t xml:space="preserve">Nor can we ignore the potential impact which changes in rules affecting insurance and pension plans may have on the economy. Fifty million Americans participate in retirement plans other than Social Security. The assets held in trust for these employees are vast and growing - more than $400 billion was reserved for retirement benefits at the end of 1976 and reserves are increasing by almost $50 billion a year. </w:t>
      </w:r>
      <w:bookmarkStart w:id="50" w:name="t39"/>
      <w:r w:rsidRPr="00144027">
        <w:rPr>
          <w:rFonts w:ascii="Times New Roman" w:eastAsia="Times New Roman" w:hAnsi="Times New Roman" w:cs="Times New Roman"/>
        </w:rPr>
        <w:fldChar w:fldCharType="begin"/>
      </w:r>
      <w:r w:rsidRPr="00144027">
        <w:rPr>
          <w:rFonts w:ascii="Times New Roman" w:eastAsia="Times New Roman" w:hAnsi="Times New Roman" w:cs="Times New Roman"/>
        </w:rPr>
        <w:instrText xml:space="preserve"> HYPERLINK "https://caselaw.findlaw.com/us-supreme-court/435/702.html" \l "f39" </w:instrText>
      </w:r>
      <w:r w:rsidRPr="00144027">
        <w:rPr>
          <w:rFonts w:ascii="Times New Roman" w:eastAsia="Times New Roman" w:hAnsi="Times New Roman" w:cs="Times New Roman"/>
        </w:rPr>
        <w:fldChar w:fldCharType="separate"/>
      </w:r>
      <w:r w:rsidRPr="00144027">
        <w:rPr>
          <w:rFonts w:ascii="Times New Roman" w:eastAsia="Times New Roman" w:hAnsi="Times New Roman" w:cs="Times New Roman"/>
          <w:color w:val="0000FF"/>
          <w:u w:val="single"/>
        </w:rPr>
        <w:t xml:space="preserve">39 </w:t>
      </w:r>
      <w:r w:rsidRPr="00144027">
        <w:rPr>
          <w:rFonts w:ascii="Times New Roman" w:eastAsia="Times New Roman" w:hAnsi="Times New Roman" w:cs="Times New Roman"/>
        </w:rPr>
        <w:fldChar w:fldCharType="end"/>
      </w:r>
      <w:bookmarkEnd w:id="50"/>
      <w:r w:rsidRPr="00144027">
        <w:rPr>
          <w:rFonts w:ascii="Times New Roman" w:eastAsia="Times New Roman" w:hAnsi="Times New Roman" w:cs="Times New Roman"/>
        </w:rPr>
        <w:t xml:space="preserve">These plans, like other forms of insurance, depend on the accumulation of large sums to cover contingencies. The amounts set aside are determined by a painstaking assessment of the insurer's likely liability. Risks that the insurer foresees will be included in the calculation of liability, and the rates or contributions charged will reflect that calculation. The occurrence of major unforeseen contingencies, however, jeopardizes the insurer's solvency and, ultimately, the insureds' benefits. Drastic changes in the legal rules governing pension and insurance funds, like other unforeseen events, can have this effect. Consequently, the rules that apply to these funds should not be applied retroactively unless the legislature has plainly commanded that result. </w:t>
      </w:r>
      <w:bookmarkStart w:id="51" w:name="t40"/>
      <w:r w:rsidRPr="00144027">
        <w:rPr>
          <w:rFonts w:ascii="Times New Roman" w:eastAsia="Times New Roman" w:hAnsi="Times New Roman" w:cs="Times New Roman"/>
        </w:rPr>
        <w:fldChar w:fldCharType="begin"/>
      </w:r>
      <w:r w:rsidRPr="00144027">
        <w:rPr>
          <w:rFonts w:ascii="Times New Roman" w:eastAsia="Times New Roman" w:hAnsi="Times New Roman" w:cs="Times New Roman"/>
        </w:rPr>
        <w:instrText xml:space="preserve"> HYPERLINK "https://caselaw.findlaw.com/us-supreme-court/435/702.html" \l "f40" </w:instrText>
      </w:r>
      <w:r w:rsidRPr="00144027">
        <w:rPr>
          <w:rFonts w:ascii="Times New Roman" w:eastAsia="Times New Roman" w:hAnsi="Times New Roman" w:cs="Times New Roman"/>
        </w:rPr>
        <w:fldChar w:fldCharType="separate"/>
      </w:r>
      <w:r w:rsidRPr="00144027">
        <w:rPr>
          <w:rFonts w:ascii="Times New Roman" w:eastAsia="Times New Roman" w:hAnsi="Times New Roman" w:cs="Times New Roman"/>
          <w:color w:val="0000FF"/>
          <w:u w:val="single"/>
        </w:rPr>
        <w:t xml:space="preserve">40 </w:t>
      </w:r>
      <w:r w:rsidRPr="00144027">
        <w:rPr>
          <w:rFonts w:ascii="Times New Roman" w:eastAsia="Times New Roman" w:hAnsi="Times New Roman" w:cs="Times New Roman"/>
        </w:rPr>
        <w:fldChar w:fldCharType="end"/>
      </w:r>
      <w:bookmarkEnd w:id="51"/>
      <w:r w:rsidRPr="00144027">
        <w:rPr>
          <w:rFonts w:ascii="Times New Roman" w:eastAsia="Times New Roman" w:hAnsi="Times New Roman" w:cs="Times New Roman"/>
        </w:rPr>
        <w:t xml:space="preserve">The EEOC </w:t>
      </w:r>
      <w:r w:rsidRPr="00144027">
        <w:rPr>
          <w:rFonts w:ascii="Times New Roman" w:eastAsia="Times New Roman" w:hAnsi="Times New Roman" w:cs="Times New Roman"/>
          <w:color w:val="005500"/>
          <w:sz w:val="20"/>
          <w:szCs w:val="20"/>
        </w:rPr>
        <w:t xml:space="preserve">[435 U.S. 702, 722]   </w:t>
      </w:r>
      <w:r w:rsidRPr="00144027">
        <w:rPr>
          <w:rFonts w:ascii="Times New Roman" w:eastAsia="Times New Roman" w:hAnsi="Times New Roman" w:cs="Times New Roman"/>
        </w:rPr>
        <w:t xml:space="preserve">itself has recognized that the administrators of retirement plans must be given time to adjust gradually to Title </w:t>
      </w:r>
      <w:proofErr w:type="spellStart"/>
      <w:r w:rsidRPr="00144027">
        <w:rPr>
          <w:rFonts w:ascii="Times New Roman" w:eastAsia="Times New Roman" w:hAnsi="Times New Roman" w:cs="Times New Roman"/>
        </w:rPr>
        <w:t>VII's</w:t>
      </w:r>
      <w:proofErr w:type="spellEnd"/>
      <w:r w:rsidRPr="00144027">
        <w:rPr>
          <w:rFonts w:ascii="Times New Roman" w:eastAsia="Times New Roman" w:hAnsi="Times New Roman" w:cs="Times New Roman"/>
        </w:rPr>
        <w:t xml:space="preserve"> demands. </w:t>
      </w:r>
      <w:bookmarkStart w:id="52" w:name="t41"/>
      <w:r w:rsidRPr="00144027">
        <w:rPr>
          <w:rFonts w:ascii="Times New Roman" w:eastAsia="Times New Roman" w:hAnsi="Times New Roman" w:cs="Times New Roman"/>
        </w:rPr>
        <w:fldChar w:fldCharType="begin"/>
      </w:r>
      <w:r w:rsidRPr="00144027">
        <w:rPr>
          <w:rFonts w:ascii="Times New Roman" w:eastAsia="Times New Roman" w:hAnsi="Times New Roman" w:cs="Times New Roman"/>
        </w:rPr>
        <w:instrText xml:space="preserve"> HYPERLINK "https://caselaw.findlaw.com/us-supreme-court/435/702.html" \l "f41" </w:instrText>
      </w:r>
      <w:r w:rsidRPr="00144027">
        <w:rPr>
          <w:rFonts w:ascii="Times New Roman" w:eastAsia="Times New Roman" w:hAnsi="Times New Roman" w:cs="Times New Roman"/>
        </w:rPr>
        <w:fldChar w:fldCharType="separate"/>
      </w:r>
      <w:r w:rsidRPr="00144027">
        <w:rPr>
          <w:rFonts w:ascii="Times New Roman" w:eastAsia="Times New Roman" w:hAnsi="Times New Roman" w:cs="Times New Roman"/>
          <w:color w:val="0000FF"/>
          <w:u w:val="single"/>
        </w:rPr>
        <w:t xml:space="preserve">41 </w:t>
      </w:r>
      <w:r w:rsidRPr="00144027">
        <w:rPr>
          <w:rFonts w:ascii="Times New Roman" w:eastAsia="Times New Roman" w:hAnsi="Times New Roman" w:cs="Times New Roman"/>
        </w:rPr>
        <w:fldChar w:fldCharType="end"/>
      </w:r>
      <w:bookmarkEnd w:id="52"/>
      <w:r w:rsidRPr="00144027">
        <w:rPr>
          <w:rFonts w:ascii="Times New Roman" w:eastAsia="Times New Roman" w:hAnsi="Times New Roman" w:cs="Times New Roman"/>
        </w:rPr>
        <w:t xml:space="preserve">Courts have also shown sensitivity to the special dangers of retroactive Title VII awards in this field. See Rosen v. Public Serv. Elec. &amp; Gas Co., 328 F. Supp. 454, 466-468 (NJ 1971). </w:t>
      </w:r>
    </w:p>
    <w:p w14:paraId="7A65B67F" w14:textId="77777777" w:rsidR="00144027" w:rsidRPr="00144027" w:rsidRDefault="00144027" w:rsidP="00144027">
      <w:pPr>
        <w:spacing w:before="100" w:beforeAutospacing="1" w:after="100" w:afterAutospacing="1" w:line="240" w:lineRule="auto"/>
        <w:rPr>
          <w:rFonts w:ascii="Times New Roman" w:eastAsia="Times New Roman" w:hAnsi="Times New Roman" w:cs="Times New Roman"/>
        </w:rPr>
      </w:pPr>
      <w:r w:rsidRPr="00144027">
        <w:rPr>
          <w:rFonts w:ascii="Times New Roman" w:eastAsia="Times New Roman" w:hAnsi="Times New Roman" w:cs="Times New Roman"/>
        </w:rPr>
        <w:lastRenderedPageBreak/>
        <w:t xml:space="preserve">There can be no doubt that the prohibition against sex-differentiated employee contributions represents a marked departure from past practice. Although Title VII was enacted in 1964, this is apparently the first litigation challenging contribution differences based on valid actuarial tables. Retroactive liability could be devastating for a pension fund. </w:t>
      </w:r>
      <w:bookmarkStart w:id="53" w:name="t42"/>
      <w:r w:rsidRPr="00144027">
        <w:rPr>
          <w:rFonts w:ascii="Times New Roman" w:eastAsia="Times New Roman" w:hAnsi="Times New Roman" w:cs="Times New Roman"/>
        </w:rPr>
        <w:fldChar w:fldCharType="begin"/>
      </w:r>
      <w:r w:rsidRPr="00144027">
        <w:rPr>
          <w:rFonts w:ascii="Times New Roman" w:eastAsia="Times New Roman" w:hAnsi="Times New Roman" w:cs="Times New Roman"/>
        </w:rPr>
        <w:instrText xml:space="preserve"> HYPERLINK "https://caselaw.findlaw.com/us-supreme-court/435/702.html" \l "f42" </w:instrText>
      </w:r>
      <w:r w:rsidRPr="00144027">
        <w:rPr>
          <w:rFonts w:ascii="Times New Roman" w:eastAsia="Times New Roman" w:hAnsi="Times New Roman" w:cs="Times New Roman"/>
        </w:rPr>
        <w:fldChar w:fldCharType="separate"/>
      </w:r>
      <w:r w:rsidRPr="00144027">
        <w:rPr>
          <w:rFonts w:ascii="Times New Roman" w:eastAsia="Times New Roman" w:hAnsi="Times New Roman" w:cs="Times New Roman"/>
          <w:color w:val="0000FF"/>
          <w:u w:val="single"/>
        </w:rPr>
        <w:t xml:space="preserve">42 </w:t>
      </w:r>
      <w:r w:rsidRPr="00144027">
        <w:rPr>
          <w:rFonts w:ascii="Times New Roman" w:eastAsia="Times New Roman" w:hAnsi="Times New Roman" w:cs="Times New Roman"/>
        </w:rPr>
        <w:fldChar w:fldCharType="end"/>
      </w:r>
      <w:bookmarkEnd w:id="53"/>
      <w:r w:rsidRPr="00144027">
        <w:rPr>
          <w:rFonts w:ascii="Times New Roman" w:eastAsia="Times New Roman" w:hAnsi="Times New Roman" w:cs="Times New Roman"/>
        </w:rPr>
        <w:t xml:space="preserve">The </w:t>
      </w:r>
      <w:bookmarkStart w:id="54" w:name="723"/>
      <w:r w:rsidRPr="00144027">
        <w:rPr>
          <w:rFonts w:ascii="Times New Roman" w:eastAsia="Times New Roman" w:hAnsi="Times New Roman" w:cs="Times New Roman"/>
          <w:color w:val="005500"/>
          <w:sz w:val="20"/>
          <w:szCs w:val="20"/>
        </w:rPr>
        <w:t xml:space="preserve">[435 U.S. 702, 723] </w:t>
      </w:r>
      <w:bookmarkEnd w:id="54"/>
      <w:r w:rsidRPr="00144027">
        <w:rPr>
          <w:rFonts w:ascii="Times New Roman" w:eastAsia="Times New Roman" w:hAnsi="Times New Roman" w:cs="Times New Roman"/>
          <w:color w:val="005500"/>
          <w:sz w:val="20"/>
          <w:szCs w:val="20"/>
        </w:rPr>
        <w:t xml:space="preserve">  </w:t>
      </w:r>
      <w:r w:rsidRPr="00144027">
        <w:rPr>
          <w:rFonts w:ascii="Times New Roman" w:eastAsia="Times New Roman" w:hAnsi="Times New Roman" w:cs="Times New Roman"/>
        </w:rPr>
        <w:t xml:space="preserve">harm would fall in large part on innocent third parties. If, as the courts below apparently contemplated, the plaintiffs' contributions are recovered from the pension fund, </w:t>
      </w:r>
      <w:bookmarkStart w:id="55" w:name="t43"/>
      <w:r w:rsidRPr="00144027">
        <w:rPr>
          <w:rFonts w:ascii="Times New Roman" w:eastAsia="Times New Roman" w:hAnsi="Times New Roman" w:cs="Times New Roman"/>
        </w:rPr>
        <w:fldChar w:fldCharType="begin"/>
      </w:r>
      <w:r w:rsidRPr="00144027">
        <w:rPr>
          <w:rFonts w:ascii="Times New Roman" w:eastAsia="Times New Roman" w:hAnsi="Times New Roman" w:cs="Times New Roman"/>
        </w:rPr>
        <w:instrText xml:space="preserve"> HYPERLINK "https://caselaw.findlaw.com/us-supreme-court/435/702.html" \l "f43" </w:instrText>
      </w:r>
      <w:r w:rsidRPr="00144027">
        <w:rPr>
          <w:rFonts w:ascii="Times New Roman" w:eastAsia="Times New Roman" w:hAnsi="Times New Roman" w:cs="Times New Roman"/>
        </w:rPr>
        <w:fldChar w:fldCharType="separate"/>
      </w:r>
      <w:r w:rsidRPr="00144027">
        <w:rPr>
          <w:rFonts w:ascii="Times New Roman" w:eastAsia="Times New Roman" w:hAnsi="Times New Roman" w:cs="Times New Roman"/>
          <w:color w:val="0000FF"/>
          <w:u w:val="single"/>
        </w:rPr>
        <w:t xml:space="preserve">43 </w:t>
      </w:r>
      <w:r w:rsidRPr="00144027">
        <w:rPr>
          <w:rFonts w:ascii="Times New Roman" w:eastAsia="Times New Roman" w:hAnsi="Times New Roman" w:cs="Times New Roman"/>
        </w:rPr>
        <w:fldChar w:fldCharType="end"/>
      </w:r>
      <w:bookmarkEnd w:id="55"/>
      <w:r w:rsidRPr="00144027">
        <w:rPr>
          <w:rFonts w:ascii="Times New Roman" w:eastAsia="Times New Roman" w:hAnsi="Times New Roman" w:cs="Times New Roman"/>
        </w:rPr>
        <w:t xml:space="preserve">the administrators of the fund will be forced to meet unchanged obligations with diminished assets. </w:t>
      </w:r>
      <w:bookmarkStart w:id="56" w:name="t44"/>
      <w:r w:rsidRPr="00144027">
        <w:rPr>
          <w:rFonts w:ascii="Times New Roman" w:eastAsia="Times New Roman" w:hAnsi="Times New Roman" w:cs="Times New Roman"/>
        </w:rPr>
        <w:fldChar w:fldCharType="begin"/>
      </w:r>
      <w:r w:rsidRPr="00144027">
        <w:rPr>
          <w:rFonts w:ascii="Times New Roman" w:eastAsia="Times New Roman" w:hAnsi="Times New Roman" w:cs="Times New Roman"/>
        </w:rPr>
        <w:instrText xml:space="preserve"> HYPERLINK "https://caselaw.findlaw.com/us-supreme-court/435/702.html" \l "f44" </w:instrText>
      </w:r>
      <w:r w:rsidRPr="00144027">
        <w:rPr>
          <w:rFonts w:ascii="Times New Roman" w:eastAsia="Times New Roman" w:hAnsi="Times New Roman" w:cs="Times New Roman"/>
        </w:rPr>
        <w:fldChar w:fldCharType="separate"/>
      </w:r>
      <w:r w:rsidRPr="00144027">
        <w:rPr>
          <w:rFonts w:ascii="Times New Roman" w:eastAsia="Times New Roman" w:hAnsi="Times New Roman" w:cs="Times New Roman"/>
          <w:color w:val="0000FF"/>
          <w:u w:val="single"/>
        </w:rPr>
        <w:t xml:space="preserve">44 </w:t>
      </w:r>
      <w:r w:rsidRPr="00144027">
        <w:rPr>
          <w:rFonts w:ascii="Times New Roman" w:eastAsia="Times New Roman" w:hAnsi="Times New Roman" w:cs="Times New Roman"/>
        </w:rPr>
        <w:fldChar w:fldCharType="end"/>
      </w:r>
      <w:bookmarkEnd w:id="56"/>
      <w:r w:rsidRPr="00144027">
        <w:rPr>
          <w:rFonts w:ascii="Times New Roman" w:eastAsia="Times New Roman" w:hAnsi="Times New Roman" w:cs="Times New Roman"/>
        </w:rPr>
        <w:t xml:space="preserve">If the reserve proves inadequate, either the expectations of all retired employees will be disappointed or current employees will be forced to pay not only for their own future security but also for the unanticipated reduction in the contributions of past employees. </w:t>
      </w:r>
    </w:p>
    <w:p w14:paraId="2B172165" w14:textId="77777777" w:rsidR="00144027" w:rsidRPr="00144027" w:rsidRDefault="00144027" w:rsidP="00144027">
      <w:pPr>
        <w:spacing w:before="100" w:beforeAutospacing="1" w:after="100" w:afterAutospacing="1" w:line="240" w:lineRule="auto"/>
        <w:rPr>
          <w:rFonts w:ascii="Times New Roman" w:eastAsia="Times New Roman" w:hAnsi="Times New Roman" w:cs="Times New Roman"/>
        </w:rPr>
      </w:pPr>
      <w:r w:rsidRPr="00144027">
        <w:rPr>
          <w:rFonts w:ascii="Times New Roman" w:eastAsia="Times New Roman" w:hAnsi="Times New Roman" w:cs="Times New Roman"/>
        </w:rPr>
        <w:t xml:space="preserve">Without qualifying the force of the Albemarle presumption in favor of retroactive relief, we conclude that it was error to grant such relief in this case. Accordingly, although we agree with the Court of Appeals' analysis of the statute, we vacate its judgment and remand the case for further proceedings consistent with this opinion. </w:t>
      </w:r>
    </w:p>
    <w:p w14:paraId="3168F1E4" w14:textId="77777777" w:rsidR="00144027" w:rsidRPr="00144027" w:rsidRDefault="00144027" w:rsidP="00144027">
      <w:pPr>
        <w:spacing w:after="0" w:line="240" w:lineRule="auto"/>
        <w:ind w:left="720"/>
        <w:rPr>
          <w:rFonts w:ascii="Times New Roman" w:eastAsia="Times New Roman" w:hAnsi="Times New Roman" w:cs="Times New Roman"/>
        </w:rPr>
      </w:pPr>
      <w:r w:rsidRPr="00144027">
        <w:rPr>
          <w:rFonts w:ascii="Times New Roman" w:eastAsia="Times New Roman" w:hAnsi="Times New Roman" w:cs="Times New Roman"/>
        </w:rPr>
        <w:t xml:space="preserve">It is so ordered. </w:t>
      </w:r>
    </w:p>
    <w:p w14:paraId="22147545" w14:textId="77777777" w:rsidR="00144027" w:rsidRPr="00144027" w:rsidRDefault="00144027" w:rsidP="00144027">
      <w:pPr>
        <w:spacing w:after="0" w:line="240" w:lineRule="auto"/>
        <w:rPr>
          <w:rFonts w:ascii="Times New Roman" w:eastAsia="Times New Roman" w:hAnsi="Times New Roman" w:cs="Times New Roman"/>
        </w:rPr>
      </w:pPr>
      <w:r w:rsidRPr="00144027">
        <w:rPr>
          <w:rFonts w:ascii="Times New Roman" w:eastAsia="Times New Roman" w:hAnsi="Times New Roman" w:cs="Times New Roman"/>
          <w:b/>
          <w:bCs/>
        </w:rPr>
        <w:t xml:space="preserve">MR. </w:t>
      </w:r>
      <w:r w:rsidRPr="00144027">
        <w:rPr>
          <w:rFonts w:ascii="Times New Roman" w:eastAsia="Times New Roman" w:hAnsi="Times New Roman" w:cs="Times New Roman"/>
        </w:rPr>
        <w:t xml:space="preserve">JUSTICE BRENNAN took no part in the consideration or decision of this case. </w:t>
      </w:r>
    </w:p>
    <w:p w14:paraId="05E3AFD0" w14:textId="77777777" w:rsidR="00144027" w:rsidRPr="00144027" w:rsidRDefault="00144027" w:rsidP="00144027">
      <w:pPr>
        <w:spacing w:before="100" w:beforeAutospacing="1" w:after="100" w:afterAutospacing="1" w:line="240" w:lineRule="auto"/>
        <w:outlineLvl w:val="2"/>
        <w:rPr>
          <w:rFonts w:ascii="Times New Roman" w:eastAsia="Times New Roman" w:hAnsi="Times New Roman" w:cs="Times New Roman"/>
          <w:b/>
          <w:bCs/>
          <w:sz w:val="27"/>
          <w:szCs w:val="27"/>
        </w:rPr>
      </w:pPr>
      <w:r w:rsidRPr="00144027">
        <w:rPr>
          <w:rFonts w:ascii="Times New Roman" w:eastAsia="Times New Roman" w:hAnsi="Times New Roman" w:cs="Times New Roman"/>
          <w:b/>
          <w:bCs/>
          <w:sz w:val="27"/>
          <w:szCs w:val="27"/>
        </w:rPr>
        <w:t xml:space="preserve">Footnotes </w:t>
      </w:r>
    </w:p>
    <w:p w14:paraId="323A685C" w14:textId="77777777" w:rsidR="00144027" w:rsidRPr="00144027" w:rsidRDefault="00144027" w:rsidP="00144027">
      <w:pPr>
        <w:spacing w:before="100" w:beforeAutospacing="1" w:after="100" w:afterAutospacing="1" w:line="240" w:lineRule="auto"/>
        <w:rPr>
          <w:rFonts w:ascii="Times New Roman" w:eastAsia="Times New Roman" w:hAnsi="Times New Roman" w:cs="Times New Roman"/>
        </w:rPr>
      </w:pPr>
      <w:r w:rsidRPr="00144027">
        <w:rPr>
          <w:rFonts w:ascii="Times New Roman" w:eastAsia="Times New Roman" w:hAnsi="Times New Roman" w:cs="Times New Roman"/>
        </w:rPr>
        <w:t xml:space="preserve">[ </w:t>
      </w:r>
      <w:bookmarkStart w:id="57" w:name="f25"/>
      <w:r w:rsidRPr="00144027">
        <w:rPr>
          <w:rFonts w:ascii="Times New Roman" w:eastAsia="Times New Roman" w:hAnsi="Times New Roman" w:cs="Times New Roman"/>
        </w:rPr>
        <w:fldChar w:fldCharType="begin"/>
      </w:r>
      <w:r w:rsidRPr="00144027">
        <w:rPr>
          <w:rFonts w:ascii="Times New Roman" w:eastAsia="Times New Roman" w:hAnsi="Times New Roman" w:cs="Times New Roman"/>
        </w:rPr>
        <w:instrText xml:space="preserve"> HYPERLINK "https://caselaw.findlaw.com/us-supreme-court/435/702.html" \l "t25" </w:instrText>
      </w:r>
      <w:r w:rsidRPr="00144027">
        <w:rPr>
          <w:rFonts w:ascii="Times New Roman" w:eastAsia="Times New Roman" w:hAnsi="Times New Roman" w:cs="Times New Roman"/>
        </w:rPr>
        <w:fldChar w:fldCharType="separate"/>
      </w:r>
      <w:r w:rsidRPr="00144027">
        <w:rPr>
          <w:rFonts w:ascii="Times New Roman" w:eastAsia="Times New Roman" w:hAnsi="Times New Roman" w:cs="Times New Roman"/>
          <w:color w:val="0000FF"/>
          <w:u w:val="single"/>
        </w:rPr>
        <w:t xml:space="preserve">Footnote 25 </w:t>
      </w:r>
      <w:r w:rsidRPr="00144027">
        <w:rPr>
          <w:rFonts w:ascii="Times New Roman" w:eastAsia="Times New Roman" w:hAnsi="Times New Roman" w:cs="Times New Roman"/>
        </w:rPr>
        <w:fldChar w:fldCharType="end"/>
      </w:r>
      <w:bookmarkEnd w:id="57"/>
      <w:r w:rsidRPr="00144027">
        <w:rPr>
          <w:rFonts w:ascii="Times New Roman" w:eastAsia="Times New Roman" w:hAnsi="Times New Roman" w:cs="Times New Roman"/>
        </w:rPr>
        <w:t xml:space="preserve">] "MR. RANDOLPH. Mr. President, I wish to ask of the Senator from Minnesota [Mr. Humphrey], who is the effective manager of the pending bill, a clarifying question on the provisions of title VII. "I have in mind that the social security system, in certain respects, treats men and women differently. For example, widows' benefits are paid automatically; but a widower qualifies only if he is disabled or if he was </w:t>
      </w:r>
      <w:proofErr w:type="gramStart"/>
      <w:r w:rsidRPr="00144027">
        <w:rPr>
          <w:rFonts w:ascii="Times New Roman" w:eastAsia="Times New Roman" w:hAnsi="Times New Roman" w:cs="Times New Roman"/>
        </w:rPr>
        <w:t>actually supported</w:t>
      </w:r>
      <w:proofErr w:type="gramEnd"/>
      <w:r w:rsidRPr="00144027">
        <w:rPr>
          <w:rFonts w:ascii="Times New Roman" w:eastAsia="Times New Roman" w:hAnsi="Times New Roman" w:cs="Times New Roman"/>
        </w:rPr>
        <w:t xml:space="preserve"> by his deceased wife. Also, the wife of a retired employee entitled to social security receives an additional old age benefit; but the husband of such an employee does not. These differences in treatment as I recall, are of long standing. "Am I correct, I ask the Senator from Minnesota, in assuming that similar differences of treatment in industrial benefit plans, including earlier retirement options for women, may continue in operation under this bill, if it becomes law? "MR. HUMPHREY. Yes. That point was made unmistakably clear earlier today by the adoption of the Bennett amendment; so there can be no doubt about it." 110 Cong. Rec. 13663-13664 (1964). </w:t>
      </w:r>
    </w:p>
    <w:p w14:paraId="05C262F3" w14:textId="77777777" w:rsidR="00144027" w:rsidRPr="00144027" w:rsidRDefault="00144027" w:rsidP="00144027">
      <w:pPr>
        <w:spacing w:before="100" w:beforeAutospacing="1" w:after="100" w:afterAutospacing="1" w:line="240" w:lineRule="auto"/>
        <w:rPr>
          <w:rFonts w:ascii="Times New Roman" w:eastAsia="Times New Roman" w:hAnsi="Times New Roman" w:cs="Times New Roman"/>
        </w:rPr>
      </w:pPr>
      <w:r w:rsidRPr="00144027">
        <w:rPr>
          <w:rFonts w:ascii="Times New Roman" w:eastAsia="Times New Roman" w:hAnsi="Times New Roman" w:cs="Times New Roman"/>
        </w:rPr>
        <w:t xml:space="preserve">[ </w:t>
      </w:r>
      <w:bookmarkStart w:id="58" w:name="f26"/>
      <w:r w:rsidRPr="00144027">
        <w:rPr>
          <w:rFonts w:ascii="Times New Roman" w:eastAsia="Times New Roman" w:hAnsi="Times New Roman" w:cs="Times New Roman"/>
        </w:rPr>
        <w:fldChar w:fldCharType="begin"/>
      </w:r>
      <w:r w:rsidRPr="00144027">
        <w:rPr>
          <w:rFonts w:ascii="Times New Roman" w:eastAsia="Times New Roman" w:hAnsi="Times New Roman" w:cs="Times New Roman"/>
        </w:rPr>
        <w:instrText xml:space="preserve"> HYPERLINK "https://caselaw.findlaw.com/us-supreme-court/435/702.html" \l "t26" </w:instrText>
      </w:r>
      <w:r w:rsidRPr="00144027">
        <w:rPr>
          <w:rFonts w:ascii="Times New Roman" w:eastAsia="Times New Roman" w:hAnsi="Times New Roman" w:cs="Times New Roman"/>
        </w:rPr>
        <w:fldChar w:fldCharType="separate"/>
      </w:r>
      <w:r w:rsidRPr="00144027">
        <w:rPr>
          <w:rFonts w:ascii="Times New Roman" w:eastAsia="Times New Roman" w:hAnsi="Times New Roman" w:cs="Times New Roman"/>
          <w:color w:val="0000FF"/>
          <w:u w:val="single"/>
        </w:rPr>
        <w:t xml:space="preserve">Footnote 26 </w:t>
      </w:r>
      <w:r w:rsidRPr="00144027">
        <w:rPr>
          <w:rFonts w:ascii="Times New Roman" w:eastAsia="Times New Roman" w:hAnsi="Times New Roman" w:cs="Times New Roman"/>
        </w:rPr>
        <w:fldChar w:fldCharType="end"/>
      </w:r>
      <w:bookmarkEnd w:id="58"/>
      <w:r w:rsidRPr="00144027">
        <w:rPr>
          <w:rFonts w:ascii="Times New Roman" w:eastAsia="Times New Roman" w:hAnsi="Times New Roman" w:cs="Times New Roman"/>
        </w:rPr>
        <w:t xml:space="preserve">] The administrative constructions of this provision look in two directions. The Wage and Hour Administrator, who is charged with enforcing the Equal Pay Act, has never expressly approved different employee contribution rates, but he has said that either equal employer contributions or equal benefits will satisfy the Act. 29 CFR 800.116 (d) (1977). At the same time, he has stated that a wage differential based on differences in the average costs of employing men and women is not based on a "`factor other than sex.'" 29 CFR 800.151 (1977). The Administrator's reasons for the second ruling are illuminating: "To group employees solely </w:t>
      </w:r>
      <w:proofErr w:type="gramStart"/>
      <w:r w:rsidRPr="00144027">
        <w:rPr>
          <w:rFonts w:ascii="Times New Roman" w:eastAsia="Times New Roman" w:hAnsi="Times New Roman" w:cs="Times New Roman"/>
        </w:rPr>
        <w:t>on the basis of</w:t>
      </w:r>
      <w:proofErr w:type="gramEnd"/>
      <w:r w:rsidRPr="00144027">
        <w:rPr>
          <w:rFonts w:ascii="Times New Roman" w:eastAsia="Times New Roman" w:hAnsi="Times New Roman" w:cs="Times New Roman"/>
        </w:rPr>
        <w:t xml:space="preserve"> sex for purposes of comparison of costs necessarily rests on the assumption that the sex factor alone may justify the wage differential - an assumption plainly contrary to the terms and purpose of the Equal Pay Act. Wage differentials so based would serve only to perpetuate and promote the very discrimination at which the Act is directed, because in any grouping by sex of the employees to which the cost data relates, the group cost experience is </w:t>
      </w:r>
      <w:r w:rsidRPr="00144027">
        <w:rPr>
          <w:rFonts w:ascii="Times New Roman" w:eastAsia="Times New Roman" w:hAnsi="Times New Roman" w:cs="Times New Roman"/>
        </w:rPr>
        <w:lastRenderedPageBreak/>
        <w:t xml:space="preserve">necessarily assessed against an individual of one sex without regard to whether it costs an employer more or less to employ such individual than a particular individual of the opposite sex under similar working conditions in jobs requiring equal skill, effort, and responsibility." Ibid. To the extent that they conflict, we find that the reasoning of 800.151 has more "power to persuade" than the ipse dixit of 800.116. Cf. Skidmore v. Swift &amp; Co., </w:t>
      </w:r>
      <w:hyperlink r:id="rId13" w:anchor="140" w:history="1">
        <w:r w:rsidRPr="00144027">
          <w:rPr>
            <w:rFonts w:ascii="Times New Roman" w:eastAsia="Times New Roman" w:hAnsi="Times New Roman" w:cs="Times New Roman"/>
            <w:color w:val="0000FF"/>
            <w:u w:val="single"/>
          </w:rPr>
          <w:t xml:space="preserve">323 U.S. 134, 140 </w:t>
        </w:r>
      </w:hyperlink>
      <w:r w:rsidRPr="00144027">
        <w:rPr>
          <w:rFonts w:ascii="Times New Roman" w:eastAsia="Times New Roman" w:hAnsi="Times New Roman" w:cs="Times New Roman"/>
        </w:rPr>
        <w:t xml:space="preserve">. </w:t>
      </w:r>
    </w:p>
    <w:p w14:paraId="74E7E566" w14:textId="1C4DC8F9" w:rsidR="00144027" w:rsidRPr="00144027" w:rsidRDefault="00144027" w:rsidP="00144027">
      <w:pPr>
        <w:spacing w:before="100" w:beforeAutospacing="1" w:after="100" w:afterAutospacing="1" w:line="240" w:lineRule="auto"/>
        <w:rPr>
          <w:rFonts w:ascii="Times New Roman" w:eastAsia="Times New Roman" w:hAnsi="Times New Roman" w:cs="Times New Roman"/>
        </w:rPr>
      </w:pPr>
      <w:r w:rsidRPr="00144027">
        <w:rPr>
          <w:rFonts w:ascii="Times New Roman" w:eastAsia="Times New Roman" w:hAnsi="Times New Roman" w:cs="Times New Roman"/>
        </w:rPr>
        <w:t xml:space="preserve"> </w:t>
      </w:r>
    </w:p>
    <w:p w14:paraId="7F58736F" w14:textId="77777777" w:rsidR="00144027" w:rsidRPr="00144027" w:rsidRDefault="00144027" w:rsidP="00144027">
      <w:pPr>
        <w:spacing w:before="100" w:beforeAutospacing="1" w:after="100" w:afterAutospacing="1" w:line="240" w:lineRule="auto"/>
        <w:rPr>
          <w:rFonts w:ascii="Times New Roman" w:eastAsia="Times New Roman" w:hAnsi="Times New Roman" w:cs="Times New Roman"/>
        </w:rPr>
      </w:pPr>
      <w:r w:rsidRPr="00144027">
        <w:rPr>
          <w:rFonts w:ascii="Times New Roman" w:eastAsia="Times New Roman" w:hAnsi="Times New Roman" w:cs="Times New Roman"/>
        </w:rPr>
        <w:t xml:space="preserve">[ </w:t>
      </w:r>
      <w:bookmarkStart w:id="59" w:name="f30"/>
      <w:r w:rsidRPr="00144027">
        <w:rPr>
          <w:rFonts w:ascii="Times New Roman" w:eastAsia="Times New Roman" w:hAnsi="Times New Roman" w:cs="Times New Roman"/>
        </w:rPr>
        <w:fldChar w:fldCharType="begin"/>
      </w:r>
      <w:r w:rsidRPr="00144027">
        <w:rPr>
          <w:rFonts w:ascii="Times New Roman" w:eastAsia="Times New Roman" w:hAnsi="Times New Roman" w:cs="Times New Roman"/>
        </w:rPr>
        <w:instrText xml:space="preserve"> HYPERLINK "https://caselaw.findlaw.com/us-supreme-court/435/702.html" \l "t30" </w:instrText>
      </w:r>
      <w:r w:rsidRPr="00144027">
        <w:rPr>
          <w:rFonts w:ascii="Times New Roman" w:eastAsia="Times New Roman" w:hAnsi="Times New Roman" w:cs="Times New Roman"/>
        </w:rPr>
        <w:fldChar w:fldCharType="separate"/>
      </w:r>
      <w:r w:rsidRPr="00144027">
        <w:rPr>
          <w:rFonts w:ascii="Times New Roman" w:eastAsia="Times New Roman" w:hAnsi="Times New Roman" w:cs="Times New Roman"/>
          <w:color w:val="0000FF"/>
          <w:u w:val="single"/>
        </w:rPr>
        <w:t xml:space="preserve">Footnote 30 </w:t>
      </w:r>
      <w:r w:rsidRPr="00144027">
        <w:rPr>
          <w:rFonts w:ascii="Times New Roman" w:eastAsia="Times New Roman" w:hAnsi="Times New Roman" w:cs="Times New Roman"/>
        </w:rPr>
        <w:fldChar w:fldCharType="end"/>
      </w:r>
      <w:bookmarkEnd w:id="59"/>
      <w:r w:rsidRPr="00144027">
        <w:rPr>
          <w:rFonts w:ascii="Times New Roman" w:eastAsia="Times New Roman" w:hAnsi="Times New Roman" w:cs="Times New Roman"/>
        </w:rPr>
        <w:t xml:space="preserve">] Some amici suggest that the Department's discrimination is justified by business necessity. They argue that, if no gender distinction is drawn, many male employees will withdraw from the plan, or even the Department, because they can get a better pension plan in the private market. But the Department has long required equal contributions to its death-benefit plan, see n. 19, supra, and since 1975 it has required equal contributions to its pension plan. Yet the Department points to no "adverse selection" by the affected employees, presumably because an employee who wants to leave the plan must also leave his job, and few workers will quit because one of their fringe benefits could theoretically be obtained at a marginally lower price on the open market. In short, there has been no showing that sex distinctions are reasonably necessary to the normal operation of the Department's retirement plan. </w:t>
      </w:r>
    </w:p>
    <w:p w14:paraId="7243B9FD" w14:textId="77777777" w:rsidR="00144027" w:rsidRPr="00144027" w:rsidRDefault="00144027" w:rsidP="00144027">
      <w:pPr>
        <w:spacing w:before="100" w:beforeAutospacing="1" w:after="100" w:afterAutospacing="1" w:line="240" w:lineRule="auto"/>
        <w:rPr>
          <w:rFonts w:ascii="Times New Roman" w:eastAsia="Times New Roman" w:hAnsi="Times New Roman" w:cs="Times New Roman"/>
        </w:rPr>
      </w:pPr>
      <w:r w:rsidRPr="00144027">
        <w:rPr>
          <w:rFonts w:ascii="Times New Roman" w:eastAsia="Times New Roman" w:hAnsi="Times New Roman" w:cs="Times New Roman"/>
        </w:rPr>
        <w:t xml:space="preserve">MR. JUSTICE BLACKMUN, concurring in part and concurring in the judgment. </w:t>
      </w:r>
    </w:p>
    <w:p w14:paraId="2B430736" w14:textId="77777777" w:rsidR="00144027" w:rsidRPr="00144027" w:rsidRDefault="00144027" w:rsidP="00144027">
      <w:pPr>
        <w:spacing w:before="100" w:beforeAutospacing="1" w:after="100" w:afterAutospacing="1" w:line="240" w:lineRule="auto"/>
        <w:rPr>
          <w:rFonts w:ascii="Times New Roman" w:eastAsia="Times New Roman" w:hAnsi="Times New Roman" w:cs="Times New Roman"/>
        </w:rPr>
      </w:pPr>
      <w:r w:rsidRPr="00144027">
        <w:rPr>
          <w:rFonts w:ascii="Times New Roman" w:eastAsia="Times New Roman" w:hAnsi="Times New Roman" w:cs="Times New Roman"/>
        </w:rPr>
        <w:t xml:space="preserve">MR. JUSTICE STEWART wrote the opinion for the Court in </w:t>
      </w:r>
      <w:proofErr w:type="spellStart"/>
      <w:r w:rsidRPr="00144027">
        <w:rPr>
          <w:rFonts w:ascii="Times New Roman" w:eastAsia="Times New Roman" w:hAnsi="Times New Roman" w:cs="Times New Roman"/>
        </w:rPr>
        <w:t>Geduldig</w:t>
      </w:r>
      <w:proofErr w:type="spellEnd"/>
      <w:r w:rsidRPr="00144027">
        <w:rPr>
          <w:rFonts w:ascii="Times New Roman" w:eastAsia="Times New Roman" w:hAnsi="Times New Roman" w:cs="Times New Roman"/>
        </w:rPr>
        <w:t xml:space="preserve"> v. Aiello, </w:t>
      </w:r>
      <w:hyperlink r:id="rId14" w:history="1">
        <w:r w:rsidRPr="00144027">
          <w:rPr>
            <w:rFonts w:ascii="Times New Roman" w:eastAsia="Times New Roman" w:hAnsi="Times New Roman" w:cs="Times New Roman"/>
            <w:color w:val="0000FF"/>
            <w:u w:val="single"/>
          </w:rPr>
          <w:t xml:space="preserve">417 U.S. 484 </w:t>
        </w:r>
      </w:hyperlink>
      <w:r w:rsidRPr="00144027">
        <w:rPr>
          <w:rFonts w:ascii="Times New Roman" w:eastAsia="Times New Roman" w:hAnsi="Times New Roman" w:cs="Times New Roman"/>
        </w:rPr>
        <w:t xml:space="preserve">(1974), and joined the Court's opinion in General Electric Co. v. Gilbert, </w:t>
      </w:r>
      <w:hyperlink r:id="rId15" w:history="1">
        <w:r w:rsidRPr="00144027">
          <w:rPr>
            <w:rFonts w:ascii="Times New Roman" w:eastAsia="Times New Roman" w:hAnsi="Times New Roman" w:cs="Times New Roman"/>
            <w:color w:val="0000FF"/>
            <w:u w:val="single"/>
          </w:rPr>
          <w:t xml:space="preserve">429 U.S. 125 </w:t>
        </w:r>
      </w:hyperlink>
      <w:r w:rsidRPr="00144027">
        <w:rPr>
          <w:rFonts w:ascii="Times New Roman" w:eastAsia="Times New Roman" w:hAnsi="Times New Roman" w:cs="Times New Roman"/>
        </w:rPr>
        <w:t xml:space="preserve">  </w:t>
      </w:r>
      <w:bookmarkStart w:id="60" w:name="724"/>
      <w:r w:rsidRPr="00144027">
        <w:rPr>
          <w:rFonts w:ascii="Times New Roman" w:eastAsia="Times New Roman" w:hAnsi="Times New Roman" w:cs="Times New Roman"/>
          <w:color w:val="005500"/>
          <w:sz w:val="20"/>
          <w:szCs w:val="20"/>
        </w:rPr>
        <w:t xml:space="preserve">[435 U.S. 702, 724] </w:t>
      </w:r>
      <w:bookmarkEnd w:id="60"/>
      <w:r w:rsidRPr="00144027">
        <w:rPr>
          <w:rFonts w:ascii="Times New Roman" w:eastAsia="Times New Roman" w:hAnsi="Times New Roman" w:cs="Times New Roman"/>
          <w:color w:val="005500"/>
          <w:sz w:val="20"/>
          <w:szCs w:val="20"/>
        </w:rPr>
        <w:t xml:space="preserve">  </w:t>
      </w:r>
      <w:r w:rsidRPr="00144027">
        <w:rPr>
          <w:rFonts w:ascii="Times New Roman" w:eastAsia="Times New Roman" w:hAnsi="Times New Roman" w:cs="Times New Roman"/>
        </w:rPr>
        <w:t xml:space="preserve">(1976). MR. JUSTICE WHITE and MR. JUSTICE POWELL joined both </w:t>
      </w:r>
      <w:proofErr w:type="spellStart"/>
      <w:r w:rsidRPr="00144027">
        <w:rPr>
          <w:rFonts w:ascii="Times New Roman" w:eastAsia="Times New Roman" w:hAnsi="Times New Roman" w:cs="Times New Roman"/>
        </w:rPr>
        <w:t>Geduldig</w:t>
      </w:r>
      <w:proofErr w:type="spellEnd"/>
      <w:r w:rsidRPr="00144027">
        <w:rPr>
          <w:rFonts w:ascii="Times New Roman" w:eastAsia="Times New Roman" w:hAnsi="Times New Roman" w:cs="Times New Roman"/>
        </w:rPr>
        <w:t xml:space="preserve"> and General Electric. MR. JUSTICE STEVENS, who writes the opinion for the Court in the present case, dissented in General Electric. </w:t>
      </w:r>
      <w:hyperlink r:id="rId16" w:anchor="160" w:history="1">
        <w:r w:rsidRPr="00144027">
          <w:rPr>
            <w:rFonts w:ascii="Times New Roman" w:eastAsia="Times New Roman" w:hAnsi="Times New Roman" w:cs="Times New Roman"/>
            <w:color w:val="0000FF"/>
            <w:u w:val="single"/>
          </w:rPr>
          <w:t xml:space="preserve">429 U.S., at 160 </w:t>
        </w:r>
      </w:hyperlink>
      <w:r w:rsidRPr="00144027">
        <w:rPr>
          <w:rFonts w:ascii="Times New Roman" w:eastAsia="Times New Roman" w:hAnsi="Times New Roman" w:cs="Times New Roman"/>
        </w:rPr>
        <w:t xml:space="preserve">. MR. JUSTICE MARSHALL, who joins the Court's opinion in large part here, joined the dissent in both </w:t>
      </w:r>
      <w:proofErr w:type="spellStart"/>
      <w:r w:rsidRPr="00144027">
        <w:rPr>
          <w:rFonts w:ascii="Times New Roman" w:eastAsia="Times New Roman" w:hAnsi="Times New Roman" w:cs="Times New Roman"/>
        </w:rPr>
        <w:t>Geduldig</w:t>
      </w:r>
      <w:proofErr w:type="spellEnd"/>
      <w:r w:rsidRPr="00144027">
        <w:rPr>
          <w:rFonts w:ascii="Times New Roman" w:eastAsia="Times New Roman" w:hAnsi="Times New Roman" w:cs="Times New Roman"/>
        </w:rPr>
        <w:t xml:space="preserve"> and General Electric. </w:t>
      </w:r>
      <w:hyperlink r:id="rId17" w:anchor="497" w:history="1">
        <w:r w:rsidRPr="00144027">
          <w:rPr>
            <w:rFonts w:ascii="Times New Roman" w:eastAsia="Times New Roman" w:hAnsi="Times New Roman" w:cs="Times New Roman"/>
            <w:color w:val="0000FF"/>
            <w:u w:val="single"/>
          </w:rPr>
          <w:t xml:space="preserve">417 U.S., at 497 </w:t>
        </w:r>
      </w:hyperlink>
      <w:r w:rsidRPr="00144027">
        <w:rPr>
          <w:rFonts w:ascii="Times New Roman" w:eastAsia="Times New Roman" w:hAnsi="Times New Roman" w:cs="Times New Roman"/>
        </w:rPr>
        <w:t xml:space="preserve">; </w:t>
      </w:r>
      <w:hyperlink r:id="rId18" w:anchor="146" w:history="1">
        <w:r w:rsidRPr="00144027">
          <w:rPr>
            <w:rFonts w:ascii="Times New Roman" w:eastAsia="Times New Roman" w:hAnsi="Times New Roman" w:cs="Times New Roman"/>
            <w:color w:val="0000FF"/>
            <w:u w:val="single"/>
          </w:rPr>
          <w:t xml:space="preserve">429 U.S., at 146 </w:t>
        </w:r>
      </w:hyperlink>
      <w:r w:rsidRPr="00144027">
        <w:rPr>
          <w:rFonts w:ascii="Times New Roman" w:eastAsia="Times New Roman" w:hAnsi="Times New Roman" w:cs="Times New Roman"/>
        </w:rPr>
        <w:t xml:space="preserve">. My own discomfort with the latter case was apparent, I believe, from my separate concurrence there. Ibid. </w:t>
      </w:r>
    </w:p>
    <w:p w14:paraId="45787676" w14:textId="77777777" w:rsidR="00144027" w:rsidRPr="00144027" w:rsidRDefault="00144027" w:rsidP="00144027">
      <w:pPr>
        <w:spacing w:before="100" w:beforeAutospacing="1" w:after="100" w:afterAutospacing="1" w:line="240" w:lineRule="auto"/>
        <w:rPr>
          <w:rFonts w:ascii="Times New Roman" w:eastAsia="Times New Roman" w:hAnsi="Times New Roman" w:cs="Times New Roman"/>
        </w:rPr>
      </w:pPr>
      <w:r w:rsidRPr="00144027">
        <w:rPr>
          <w:rFonts w:ascii="Times New Roman" w:eastAsia="Times New Roman" w:hAnsi="Times New Roman" w:cs="Times New Roman"/>
        </w:rPr>
        <w:t xml:space="preserve">These "lineups" surely are not without significance. The participation of my Brothers STEWART, WHITE, and POWELL in today's majority opinion should be a sign that the decision in this case is not in tension with </w:t>
      </w:r>
      <w:proofErr w:type="spellStart"/>
      <w:r w:rsidRPr="00144027">
        <w:rPr>
          <w:rFonts w:ascii="Times New Roman" w:eastAsia="Times New Roman" w:hAnsi="Times New Roman" w:cs="Times New Roman"/>
        </w:rPr>
        <w:t>Geduldig</w:t>
      </w:r>
      <w:proofErr w:type="spellEnd"/>
      <w:r w:rsidRPr="00144027">
        <w:rPr>
          <w:rFonts w:ascii="Times New Roman" w:eastAsia="Times New Roman" w:hAnsi="Times New Roman" w:cs="Times New Roman"/>
        </w:rPr>
        <w:t xml:space="preserve"> and General Electric and, indeed, is wholly consistent with them. I am not at all sure that this is so; the votes of MR. JUSTICE MARSHALL and MR. JUSTICE STEVENS would indicate quite the contrary. </w:t>
      </w:r>
    </w:p>
    <w:p w14:paraId="39657086" w14:textId="77777777" w:rsidR="00144027" w:rsidRPr="00144027" w:rsidRDefault="00144027" w:rsidP="00144027">
      <w:pPr>
        <w:spacing w:before="100" w:beforeAutospacing="1" w:after="100" w:afterAutospacing="1" w:line="240" w:lineRule="auto"/>
        <w:rPr>
          <w:rFonts w:ascii="Times New Roman" w:eastAsia="Times New Roman" w:hAnsi="Times New Roman" w:cs="Times New Roman"/>
        </w:rPr>
      </w:pPr>
      <w:r w:rsidRPr="00144027">
        <w:rPr>
          <w:rFonts w:ascii="Times New Roman" w:eastAsia="Times New Roman" w:hAnsi="Times New Roman" w:cs="Times New Roman"/>
        </w:rPr>
        <w:t xml:space="preserve">Given the decisions in </w:t>
      </w:r>
      <w:proofErr w:type="spellStart"/>
      <w:r w:rsidRPr="00144027">
        <w:rPr>
          <w:rFonts w:ascii="Times New Roman" w:eastAsia="Times New Roman" w:hAnsi="Times New Roman" w:cs="Times New Roman"/>
        </w:rPr>
        <w:t>Geduldig</w:t>
      </w:r>
      <w:proofErr w:type="spellEnd"/>
      <w:r w:rsidRPr="00144027">
        <w:rPr>
          <w:rFonts w:ascii="Times New Roman" w:eastAsia="Times New Roman" w:hAnsi="Times New Roman" w:cs="Times New Roman"/>
        </w:rPr>
        <w:t xml:space="preserve"> and General Electric - the one constitutional, the other statutory - the present case just cannot be an easy one for the Court. I might have thought that those decisions would have required the Court to conclude that the critical difference in the Department's pension payments was based on life expectancy, a </w:t>
      </w:r>
      <w:proofErr w:type="spellStart"/>
      <w:r w:rsidRPr="00144027">
        <w:rPr>
          <w:rFonts w:ascii="Times New Roman" w:eastAsia="Times New Roman" w:hAnsi="Times New Roman" w:cs="Times New Roman"/>
        </w:rPr>
        <w:t>nonstigmatizing</w:t>
      </w:r>
      <w:proofErr w:type="spellEnd"/>
      <w:r w:rsidRPr="00144027">
        <w:rPr>
          <w:rFonts w:ascii="Times New Roman" w:eastAsia="Times New Roman" w:hAnsi="Times New Roman" w:cs="Times New Roman"/>
        </w:rPr>
        <w:t xml:space="preserve"> factor that demonstrably differentiates females from males and that is not measurable on an individual basis. I might have thought, too, that there is nothing arbitrary, irrational, or "discriminatory" about recognizing the objective and accepted (see ante, at 704, 707, and 722) disparity in female-male life expectancies in computing rates for retirement plans. Moreover, it is unrealistic to attempt to force, as the Court does, an individualized analysis upon what is basically an insurance context. Unlike the possibility, for example, of properly testing job applicants for </w:t>
      </w:r>
      <w:r w:rsidRPr="00144027">
        <w:rPr>
          <w:rFonts w:ascii="Times New Roman" w:eastAsia="Times New Roman" w:hAnsi="Times New Roman" w:cs="Times New Roman"/>
        </w:rPr>
        <w:lastRenderedPageBreak/>
        <w:t xml:space="preserve">qualifications before employment, there is simply no way to determine in advance when a particular employee will die. </w:t>
      </w:r>
    </w:p>
    <w:p w14:paraId="039A8E7D" w14:textId="77777777" w:rsidR="00144027" w:rsidRPr="00144027" w:rsidRDefault="00144027" w:rsidP="00144027">
      <w:pPr>
        <w:spacing w:before="100" w:beforeAutospacing="1" w:after="100" w:afterAutospacing="1" w:line="240" w:lineRule="auto"/>
        <w:rPr>
          <w:rFonts w:ascii="Times New Roman" w:eastAsia="Times New Roman" w:hAnsi="Times New Roman" w:cs="Times New Roman"/>
        </w:rPr>
      </w:pPr>
      <w:r w:rsidRPr="00144027">
        <w:rPr>
          <w:rFonts w:ascii="Times New Roman" w:eastAsia="Times New Roman" w:hAnsi="Times New Roman" w:cs="Times New Roman"/>
        </w:rPr>
        <w:t xml:space="preserve">The Court's rationale, of course, is that Congress, by Title VII of the Civil Rights Act of 1964, as amended, intended to </w:t>
      </w:r>
      <w:bookmarkStart w:id="61" w:name="725"/>
      <w:r w:rsidRPr="00144027">
        <w:rPr>
          <w:rFonts w:ascii="Times New Roman" w:eastAsia="Times New Roman" w:hAnsi="Times New Roman" w:cs="Times New Roman"/>
          <w:color w:val="005500"/>
          <w:sz w:val="20"/>
          <w:szCs w:val="20"/>
        </w:rPr>
        <w:t xml:space="preserve">[435 U.S. 702, 725] </w:t>
      </w:r>
      <w:bookmarkEnd w:id="61"/>
      <w:r w:rsidRPr="00144027">
        <w:rPr>
          <w:rFonts w:ascii="Times New Roman" w:eastAsia="Times New Roman" w:hAnsi="Times New Roman" w:cs="Times New Roman"/>
          <w:color w:val="005500"/>
          <w:sz w:val="20"/>
          <w:szCs w:val="20"/>
        </w:rPr>
        <w:t xml:space="preserve">  </w:t>
      </w:r>
      <w:r w:rsidRPr="00144027">
        <w:rPr>
          <w:rFonts w:ascii="Times New Roman" w:eastAsia="Times New Roman" w:hAnsi="Times New Roman" w:cs="Times New Roman"/>
        </w:rPr>
        <w:t xml:space="preserve">eliminate, with certain exceptions, "race, color, religion, sex, or national origin," 42 U.S.C. </w:t>
      </w:r>
      <w:proofErr w:type="spellStart"/>
      <w:r w:rsidRPr="00144027">
        <w:rPr>
          <w:rFonts w:ascii="Times New Roman" w:eastAsia="Times New Roman" w:hAnsi="Times New Roman" w:cs="Times New Roman"/>
        </w:rPr>
        <w:t>2000e</w:t>
      </w:r>
      <w:proofErr w:type="spellEnd"/>
      <w:r w:rsidRPr="00144027">
        <w:rPr>
          <w:rFonts w:ascii="Times New Roman" w:eastAsia="Times New Roman" w:hAnsi="Times New Roman" w:cs="Times New Roman"/>
        </w:rPr>
        <w:t xml:space="preserve">-2 (a) (1), as factors upon which employers may act. A program such as the one challenged here does exacerbate gender consciousness. But the program under consideration in General Electric did </w:t>
      </w:r>
      <w:proofErr w:type="gramStart"/>
      <w:r w:rsidRPr="00144027">
        <w:rPr>
          <w:rFonts w:ascii="Times New Roman" w:eastAsia="Times New Roman" w:hAnsi="Times New Roman" w:cs="Times New Roman"/>
        </w:rPr>
        <w:t>exactly the same</w:t>
      </w:r>
      <w:proofErr w:type="gramEnd"/>
      <w:r w:rsidRPr="00144027">
        <w:rPr>
          <w:rFonts w:ascii="Times New Roman" w:eastAsia="Times New Roman" w:hAnsi="Times New Roman" w:cs="Times New Roman"/>
        </w:rPr>
        <w:t xml:space="preserve"> thing and yet was upheld against challenge. </w:t>
      </w:r>
    </w:p>
    <w:p w14:paraId="5B5901AA" w14:textId="77777777" w:rsidR="00144027" w:rsidRPr="00144027" w:rsidRDefault="00144027" w:rsidP="00144027">
      <w:pPr>
        <w:spacing w:before="100" w:beforeAutospacing="1" w:after="100" w:afterAutospacing="1" w:line="240" w:lineRule="auto"/>
        <w:rPr>
          <w:rFonts w:ascii="Times New Roman" w:eastAsia="Times New Roman" w:hAnsi="Times New Roman" w:cs="Times New Roman"/>
        </w:rPr>
      </w:pPr>
      <w:r w:rsidRPr="00144027">
        <w:rPr>
          <w:rFonts w:ascii="Times New Roman" w:eastAsia="Times New Roman" w:hAnsi="Times New Roman" w:cs="Times New Roman"/>
        </w:rPr>
        <w:t xml:space="preserve">The Court's distinction between the present case and General Electric - that the permitted classes there were "pregnant women and nonpregnant persons," both female and male, ante, at 715 - seems to me to be just too easy. </w:t>
      </w:r>
      <w:bookmarkStart w:id="62" w:name="t*"/>
      <w:r w:rsidRPr="00144027">
        <w:rPr>
          <w:rFonts w:ascii="Times New Roman" w:eastAsia="Times New Roman" w:hAnsi="Times New Roman" w:cs="Times New Roman"/>
        </w:rPr>
        <w:fldChar w:fldCharType="begin"/>
      </w:r>
      <w:r w:rsidRPr="00144027">
        <w:rPr>
          <w:rFonts w:ascii="Times New Roman" w:eastAsia="Times New Roman" w:hAnsi="Times New Roman" w:cs="Times New Roman"/>
        </w:rPr>
        <w:instrText xml:space="preserve"> HYPERLINK "https://caselaw.findlaw.com/us-supreme-court/435/702.html" \l "f*" </w:instrText>
      </w:r>
      <w:r w:rsidRPr="00144027">
        <w:rPr>
          <w:rFonts w:ascii="Times New Roman" w:eastAsia="Times New Roman" w:hAnsi="Times New Roman" w:cs="Times New Roman"/>
        </w:rPr>
        <w:fldChar w:fldCharType="separate"/>
      </w:r>
      <w:r w:rsidRPr="00144027">
        <w:rPr>
          <w:rFonts w:ascii="Times New Roman" w:eastAsia="Times New Roman" w:hAnsi="Times New Roman" w:cs="Times New Roman"/>
          <w:color w:val="0000FF"/>
          <w:u w:val="single"/>
        </w:rPr>
        <w:t xml:space="preserve">* </w:t>
      </w:r>
      <w:r w:rsidRPr="00144027">
        <w:rPr>
          <w:rFonts w:ascii="Times New Roman" w:eastAsia="Times New Roman" w:hAnsi="Times New Roman" w:cs="Times New Roman"/>
        </w:rPr>
        <w:fldChar w:fldCharType="end"/>
      </w:r>
      <w:bookmarkEnd w:id="62"/>
      <w:r w:rsidRPr="00144027">
        <w:rPr>
          <w:rFonts w:ascii="Times New Roman" w:eastAsia="Times New Roman" w:hAnsi="Times New Roman" w:cs="Times New Roman"/>
        </w:rPr>
        <w:t xml:space="preserve">It is probably the only distinction that can be drawn. For me, it does not serve to distinguish the case on any principled basis. I therefore must conclude that today's decision cuts back on General Electric, and inferentially on </w:t>
      </w:r>
      <w:proofErr w:type="spellStart"/>
      <w:r w:rsidRPr="00144027">
        <w:rPr>
          <w:rFonts w:ascii="Times New Roman" w:eastAsia="Times New Roman" w:hAnsi="Times New Roman" w:cs="Times New Roman"/>
        </w:rPr>
        <w:t>Geduldig</w:t>
      </w:r>
      <w:proofErr w:type="spellEnd"/>
      <w:r w:rsidRPr="00144027">
        <w:rPr>
          <w:rFonts w:ascii="Times New Roman" w:eastAsia="Times New Roman" w:hAnsi="Times New Roman" w:cs="Times New Roman"/>
        </w:rPr>
        <w:t xml:space="preserve">, the reasoning of which was adopted there, </w:t>
      </w:r>
      <w:hyperlink r:id="rId19" w:anchor="133" w:history="1">
        <w:r w:rsidRPr="00144027">
          <w:rPr>
            <w:rFonts w:ascii="Times New Roman" w:eastAsia="Times New Roman" w:hAnsi="Times New Roman" w:cs="Times New Roman"/>
            <w:color w:val="0000FF"/>
            <w:u w:val="single"/>
          </w:rPr>
          <w:t xml:space="preserve">429 U.S., at 133 </w:t>
        </w:r>
      </w:hyperlink>
      <w:r w:rsidRPr="00144027">
        <w:rPr>
          <w:rFonts w:ascii="Times New Roman" w:eastAsia="Times New Roman" w:hAnsi="Times New Roman" w:cs="Times New Roman"/>
        </w:rPr>
        <w:t xml:space="preserve">-136, and, indeed, makes the recognition of those cases as continuing precedent somewhat questionable. I do not say that this is necessarily bad. If that is what Congress has chosen to do by Title VII - as the Court today with such assurance asserts - so be it. I feel, however, that we should meet the posture of the earlier cases head on and not by thin rationalization that seeks to distinguish but fails in its quest. </w:t>
      </w:r>
    </w:p>
    <w:p w14:paraId="00A1AFB4" w14:textId="77777777" w:rsidR="00144027" w:rsidRPr="00144027" w:rsidRDefault="00144027" w:rsidP="00144027">
      <w:pPr>
        <w:spacing w:before="100" w:beforeAutospacing="1" w:after="100" w:afterAutospacing="1" w:line="240" w:lineRule="auto"/>
        <w:rPr>
          <w:rFonts w:ascii="Times New Roman" w:eastAsia="Times New Roman" w:hAnsi="Times New Roman" w:cs="Times New Roman"/>
        </w:rPr>
      </w:pPr>
      <w:r w:rsidRPr="00144027">
        <w:rPr>
          <w:rFonts w:ascii="Times New Roman" w:eastAsia="Times New Roman" w:hAnsi="Times New Roman" w:cs="Times New Roman"/>
        </w:rPr>
        <w:t xml:space="preserve">I therefore join only Part IV of the Court's </w:t>
      </w:r>
      <w:proofErr w:type="gramStart"/>
      <w:r w:rsidRPr="00144027">
        <w:rPr>
          <w:rFonts w:ascii="Times New Roman" w:eastAsia="Times New Roman" w:hAnsi="Times New Roman" w:cs="Times New Roman"/>
        </w:rPr>
        <w:t>opinion, and</w:t>
      </w:r>
      <w:proofErr w:type="gramEnd"/>
      <w:r w:rsidRPr="00144027">
        <w:rPr>
          <w:rFonts w:ascii="Times New Roman" w:eastAsia="Times New Roman" w:hAnsi="Times New Roman" w:cs="Times New Roman"/>
        </w:rPr>
        <w:t xml:space="preserve"> concur in its judgment. </w:t>
      </w:r>
    </w:p>
    <w:p w14:paraId="55DE30CE" w14:textId="77777777" w:rsidR="00144027" w:rsidRPr="00144027" w:rsidRDefault="00144027" w:rsidP="00144027">
      <w:pPr>
        <w:spacing w:before="100" w:beforeAutospacing="1" w:after="100" w:afterAutospacing="1" w:line="240" w:lineRule="auto"/>
        <w:rPr>
          <w:rFonts w:ascii="Times New Roman" w:eastAsia="Times New Roman" w:hAnsi="Times New Roman" w:cs="Times New Roman"/>
        </w:rPr>
      </w:pPr>
      <w:r w:rsidRPr="00144027">
        <w:rPr>
          <w:rFonts w:ascii="Times New Roman" w:eastAsia="Times New Roman" w:hAnsi="Times New Roman" w:cs="Times New Roman"/>
        </w:rPr>
        <w:t xml:space="preserve">[ </w:t>
      </w:r>
      <w:bookmarkStart w:id="63" w:name="f*"/>
      <w:r w:rsidRPr="00144027">
        <w:rPr>
          <w:rFonts w:ascii="Times New Roman" w:eastAsia="Times New Roman" w:hAnsi="Times New Roman" w:cs="Times New Roman"/>
        </w:rPr>
        <w:fldChar w:fldCharType="begin"/>
      </w:r>
      <w:r w:rsidRPr="00144027">
        <w:rPr>
          <w:rFonts w:ascii="Times New Roman" w:eastAsia="Times New Roman" w:hAnsi="Times New Roman" w:cs="Times New Roman"/>
        </w:rPr>
        <w:instrText xml:space="preserve"> HYPERLINK "https://caselaw.findlaw.com/us-supreme-court/435/702.html" \l "t*" </w:instrText>
      </w:r>
      <w:r w:rsidRPr="00144027">
        <w:rPr>
          <w:rFonts w:ascii="Times New Roman" w:eastAsia="Times New Roman" w:hAnsi="Times New Roman" w:cs="Times New Roman"/>
        </w:rPr>
        <w:fldChar w:fldCharType="separate"/>
      </w:r>
      <w:r w:rsidRPr="00144027">
        <w:rPr>
          <w:rFonts w:ascii="Times New Roman" w:eastAsia="Times New Roman" w:hAnsi="Times New Roman" w:cs="Times New Roman"/>
          <w:color w:val="0000FF"/>
          <w:u w:val="single"/>
        </w:rPr>
        <w:t xml:space="preserve">Footnote * </w:t>
      </w:r>
      <w:r w:rsidRPr="00144027">
        <w:rPr>
          <w:rFonts w:ascii="Times New Roman" w:eastAsia="Times New Roman" w:hAnsi="Times New Roman" w:cs="Times New Roman"/>
        </w:rPr>
        <w:fldChar w:fldCharType="end"/>
      </w:r>
      <w:bookmarkEnd w:id="63"/>
      <w:r w:rsidRPr="00144027">
        <w:rPr>
          <w:rFonts w:ascii="Times New Roman" w:eastAsia="Times New Roman" w:hAnsi="Times New Roman" w:cs="Times New Roman"/>
        </w:rPr>
        <w:t xml:space="preserve">] It is of interest that MR. JUSTICE STEVENS, in his dissent in General Electric, strongly protested the very distinction he now must make for the Court. "It is not accurate to describe the program as dividing `"potential recipients into two groups - pregnant women and nonpregnant persons."' . . . The classification is between persons who face a risk of pregnancy and those who do not." </w:t>
      </w:r>
      <w:hyperlink r:id="rId20" w:anchor="161" w:history="1">
        <w:r w:rsidRPr="00144027">
          <w:rPr>
            <w:rFonts w:ascii="Times New Roman" w:eastAsia="Times New Roman" w:hAnsi="Times New Roman" w:cs="Times New Roman"/>
            <w:color w:val="0000FF"/>
            <w:u w:val="single"/>
          </w:rPr>
          <w:t xml:space="preserve">429 U.S., at 161 </w:t>
        </w:r>
      </w:hyperlink>
      <w:r w:rsidRPr="00144027">
        <w:rPr>
          <w:rFonts w:ascii="Times New Roman" w:eastAsia="Times New Roman" w:hAnsi="Times New Roman" w:cs="Times New Roman"/>
        </w:rPr>
        <w:t xml:space="preserve">-162, n. 5. </w:t>
      </w:r>
    </w:p>
    <w:p w14:paraId="48033351" w14:textId="77777777" w:rsidR="00144027" w:rsidRPr="00144027" w:rsidRDefault="00144027" w:rsidP="00144027">
      <w:pPr>
        <w:spacing w:before="100" w:beforeAutospacing="1" w:after="100" w:afterAutospacing="1" w:line="240" w:lineRule="auto"/>
        <w:rPr>
          <w:rFonts w:ascii="Times New Roman" w:eastAsia="Times New Roman" w:hAnsi="Times New Roman" w:cs="Times New Roman"/>
        </w:rPr>
      </w:pPr>
      <w:r w:rsidRPr="00144027">
        <w:rPr>
          <w:rFonts w:ascii="Times New Roman" w:eastAsia="Times New Roman" w:hAnsi="Times New Roman" w:cs="Times New Roman"/>
        </w:rPr>
        <w:t xml:space="preserve">MR. CHIEF JUSTICE BURGER, with whom MR. JUSTICE REHNQUIST joins, concurring in part and dissenting in part. </w:t>
      </w:r>
    </w:p>
    <w:p w14:paraId="3DD47F9F" w14:textId="77777777" w:rsidR="00144027" w:rsidRPr="00144027" w:rsidRDefault="00144027" w:rsidP="00144027">
      <w:pPr>
        <w:spacing w:before="100" w:beforeAutospacing="1" w:after="100" w:afterAutospacing="1" w:line="240" w:lineRule="auto"/>
        <w:rPr>
          <w:rFonts w:ascii="Times New Roman" w:eastAsia="Times New Roman" w:hAnsi="Times New Roman" w:cs="Times New Roman"/>
        </w:rPr>
      </w:pPr>
      <w:r w:rsidRPr="00144027">
        <w:rPr>
          <w:rFonts w:ascii="Times New Roman" w:eastAsia="Times New Roman" w:hAnsi="Times New Roman" w:cs="Times New Roman"/>
        </w:rPr>
        <w:t xml:space="preserve">I join Part IV of the Court's opinion; as to Parts I, II, and III, I dissent. </w:t>
      </w:r>
    </w:p>
    <w:p w14:paraId="1C30BE65" w14:textId="77777777" w:rsidR="00144027" w:rsidRPr="00144027" w:rsidRDefault="00144027" w:rsidP="00144027">
      <w:pPr>
        <w:spacing w:before="100" w:beforeAutospacing="1" w:after="100" w:afterAutospacing="1" w:line="240" w:lineRule="auto"/>
        <w:rPr>
          <w:rFonts w:ascii="Times New Roman" w:eastAsia="Times New Roman" w:hAnsi="Times New Roman" w:cs="Times New Roman"/>
        </w:rPr>
      </w:pPr>
      <w:r w:rsidRPr="00144027">
        <w:rPr>
          <w:rFonts w:ascii="Times New Roman" w:eastAsia="Times New Roman" w:hAnsi="Times New Roman" w:cs="Times New Roman"/>
        </w:rPr>
        <w:t xml:space="preserve">Gender-based actuarial tables have been in use since at least </w:t>
      </w:r>
      <w:bookmarkStart w:id="64" w:name="726"/>
      <w:r w:rsidRPr="00144027">
        <w:rPr>
          <w:rFonts w:ascii="Times New Roman" w:eastAsia="Times New Roman" w:hAnsi="Times New Roman" w:cs="Times New Roman"/>
          <w:color w:val="005500"/>
          <w:sz w:val="20"/>
          <w:szCs w:val="20"/>
        </w:rPr>
        <w:t xml:space="preserve">[435 U.S. 702, 726] </w:t>
      </w:r>
      <w:bookmarkEnd w:id="64"/>
      <w:r w:rsidRPr="00144027">
        <w:rPr>
          <w:rFonts w:ascii="Times New Roman" w:eastAsia="Times New Roman" w:hAnsi="Times New Roman" w:cs="Times New Roman"/>
          <w:color w:val="005500"/>
          <w:sz w:val="20"/>
          <w:szCs w:val="20"/>
        </w:rPr>
        <w:t xml:space="preserve">  </w:t>
      </w:r>
      <w:r w:rsidRPr="00144027">
        <w:rPr>
          <w:rFonts w:ascii="Times New Roman" w:eastAsia="Times New Roman" w:hAnsi="Times New Roman" w:cs="Times New Roman"/>
        </w:rPr>
        <w:t xml:space="preserve">1843, </w:t>
      </w:r>
      <w:bookmarkStart w:id="65" w:name="ttt1"/>
      <w:r w:rsidRPr="00144027">
        <w:rPr>
          <w:rFonts w:ascii="Times New Roman" w:eastAsia="Times New Roman" w:hAnsi="Times New Roman" w:cs="Times New Roman"/>
        </w:rPr>
        <w:fldChar w:fldCharType="begin"/>
      </w:r>
      <w:r w:rsidRPr="00144027">
        <w:rPr>
          <w:rFonts w:ascii="Times New Roman" w:eastAsia="Times New Roman" w:hAnsi="Times New Roman" w:cs="Times New Roman"/>
        </w:rPr>
        <w:instrText xml:space="preserve"> HYPERLINK "https://caselaw.findlaw.com/us-supreme-court/435/702.html" \l "fff1" </w:instrText>
      </w:r>
      <w:r w:rsidRPr="00144027">
        <w:rPr>
          <w:rFonts w:ascii="Times New Roman" w:eastAsia="Times New Roman" w:hAnsi="Times New Roman" w:cs="Times New Roman"/>
        </w:rPr>
        <w:fldChar w:fldCharType="separate"/>
      </w:r>
      <w:r w:rsidRPr="00144027">
        <w:rPr>
          <w:rFonts w:ascii="Times New Roman" w:eastAsia="Times New Roman" w:hAnsi="Times New Roman" w:cs="Times New Roman"/>
          <w:color w:val="0000FF"/>
          <w:u w:val="single"/>
        </w:rPr>
        <w:t xml:space="preserve">1 </w:t>
      </w:r>
      <w:r w:rsidRPr="00144027">
        <w:rPr>
          <w:rFonts w:ascii="Times New Roman" w:eastAsia="Times New Roman" w:hAnsi="Times New Roman" w:cs="Times New Roman"/>
        </w:rPr>
        <w:fldChar w:fldCharType="end"/>
      </w:r>
      <w:bookmarkEnd w:id="65"/>
      <w:r w:rsidRPr="00144027">
        <w:rPr>
          <w:rFonts w:ascii="Times New Roman" w:eastAsia="Times New Roman" w:hAnsi="Times New Roman" w:cs="Times New Roman"/>
        </w:rPr>
        <w:t xml:space="preserve">and their statistical validity has been repeatedly verified. </w:t>
      </w:r>
      <w:bookmarkStart w:id="66" w:name="ttt2"/>
      <w:r w:rsidRPr="00144027">
        <w:rPr>
          <w:rFonts w:ascii="Times New Roman" w:eastAsia="Times New Roman" w:hAnsi="Times New Roman" w:cs="Times New Roman"/>
        </w:rPr>
        <w:fldChar w:fldCharType="begin"/>
      </w:r>
      <w:r w:rsidRPr="00144027">
        <w:rPr>
          <w:rFonts w:ascii="Times New Roman" w:eastAsia="Times New Roman" w:hAnsi="Times New Roman" w:cs="Times New Roman"/>
        </w:rPr>
        <w:instrText xml:space="preserve"> HYPERLINK "https://caselaw.findlaw.com/us-supreme-court/435/702.html" \l "fff2" </w:instrText>
      </w:r>
      <w:r w:rsidRPr="00144027">
        <w:rPr>
          <w:rFonts w:ascii="Times New Roman" w:eastAsia="Times New Roman" w:hAnsi="Times New Roman" w:cs="Times New Roman"/>
        </w:rPr>
        <w:fldChar w:fldCharType="separate"/>
      </w:r>
      <w:r w:rsidRPr="00144027">
        <w:rPr>
          <w:rFonts w:ascii="Times New Roman" w:eastAsia="Times New Roman" w:hAnsi="Times New Roman" w:cs="Times New Roman"/>
          <w:color w:val="0000FF"/>
          <w:u w:val="single"/>
        </w:rPr>
        <w:t xml:space="preserve">2 </w:t>
      </w:r>
      <w:r w:rsidRPr="00144027">
        <w:rPr>
          <w:rFonts w:ascii="Times New Roman" w:eastAsia="Times New Roman" w:hAnsi="Times New Roman" w:cs="Times New Roman"/>
        </w:rPr>
        <w:fldChar w:fldCharType="end"/>
      </w:r>
      <w:bookmarkEnd w:id="66"/>
      <w:r w:rsidRPr="00144027">
        <w:rPr>
          <w:rFonts w:ascii="Times New Roman" w:eastAsia="Times New Roman" w:hAnsi="Times New Roman" w:cs="Times New Roman"/>
        </w:rPr>
        <w:t xml:space="preserve">The vast life insurance, annuity, and pension plan industry is based on these tables. As the Court recognizes, ante, at 707, it is a fact that "women, as a class, do live longer than men." It is equally true that employers cannot know in advance when individual members of the classes will die. Ante, at 708. Yet, if they are to operate economically workable group pension programs, it is only rational to permit them to rely on statistically sound and proved disparities in longevity between men and women. Indeed, it seems to me irrational to assume Congress intended to outlaw use of the fact that, for whatever reasons or combination of reasons, women as a class outlive men. </w:t>
      </w:r>
    </w:p>
    <w:p w14:paraId="1504F50C" w14:textId="77777777" w:rsidR="00144027" w:rsidRPr="00144027" w:rsidRDefault="00144027" w:rsidP="00144027">
      <w:pPr>
        <w:spacing w:before="100" w:beforeAutospacing="1" w:after="100" w:afterAutospacing="1" w:line="240" w:lineRule="auto"/>
        <w:rPr>
          <w:rFonts w:ascii="Times New Roman" w:eastAsia="Times New Roman" w:hAnsi="Times New Roman" w:cs="Times New Roman"/>
        </w:rPr>
      </w:pPr>
      <w:r w:rsidRPr="00144027">
        <w:rPr>
          <w:rFonts w:ascii="Times New Roman" w:eastAsia="Times New Roman" w:hAnsi="Times New Roman" w:cs="Times New Roman"/>
        </w:rPr>
        <w:t xml:space="preserve">The Court's conclusion that the language of the civil rights statute is clear, admitting of no advertence to the legislative history, such as there was, is not soundly based. An effect upon </w:t>
      </w:r>
      <w:r w:rsidRPr="00144027">
        <w:rPr>
          <w:rFonts w:ascii="Times New Roman" w:eastAsia="Times New Roman" w:hAnsi="Times New Roman" w:cs="Times New Roman"/>
        </w:rPr>
        <w:lastRenderedPageBreak/>
        <w:t xml:space="preserve">pension plans so revolutionary and discriminatory - this time favorable to women at the expense of men - should not be read into the statute without either a clear statement of that intent in the statute, or some reliable indication in the legislative history that this was Congress' purpose. The Court's casual dismissal of Senator Humphrey's apparent assumption that the "Act would have little, if any, impact on existing pension plans," ante, at 714, is to dismiss a significant manifestation of what impact on industrial benefit plans was contemplated. It is reasonably clear there was no intention to abrogate an employer's right, in this narrow and limited context, to treat women differently from men in the face of historical reliance on mortality experience statistics. Cf. ante, at 713 n. 25. </w:t>
      </w:r>
    </w:p>
    <w:p w14:paraId="7A39845B" w14:textId="77777777" w:rsidR="00144027" w:rsidRPr="00144027" w:rsidRDefault="00144027" w:rsidP="00144027">
      <w:pPr>
        <w:spacing w:before="100" w:beforeAutospacing="1" w:after="100" w:afterAutospacing="1" w:line="240" w:lineRule="auto"/>
        <w:rPr>
          <w:rFonts w:ascii="Times New Roman" w:eastAsia="Times New Roman" w:hAnsi="Times New Roman" w:cs="Times New Roman"/>
        </w:rPr>
      </w:pPr>
      <w:r w:rsidRPr="00144027">
        <w:rPr>
          <w:rFonts w:ascii="Times New Roman" w:eastAsia="Times New Roman" w:hAnsi="Times New Roman" w:cs="Times New Roman"/>
        </w:rPr>
        <w:t xml:space="preserve">The reality of differences in human mortality is what mortality experience tables reflect. The difference is the added </w:t>
      </w:r>
      <w:bookmarkStart w:id="67" w:name="727"/>
      <w:r w:rsidRPr="00144027">
        <w:rPr>
          <w:rFonts w:ascii="Times New Roman" w:eastAsia="Times New Roman" w:hAnsi="Times New Roman" w:cs="Times New Roman"/>
          <w:color w:val="005500"/>
          <w:sz w:val="20"/>
          <w:szCs w:val="20"/>
        </w:rPr>
        <w:t xml:space="preserve">[435 U.S. 702, 727] </w:t>
      </w:r>
      <w:bookmarkEnd w:id="67"/>
      <w:r w:rsidRPr="00144027">
        <w:rPr>
          <w:rFonts w:ascii="Times New Roman" w:eastAsia="Times New Roman" w:hAnsi="Times New Roman" w:cs="Times New Roman"/>
          <w:color w:val="005500"/>
          <w:sz w:val="20"/>
          <w:szCs w:val="20"/>
        </w:rPr>
        <w:t xml:space="preserve">  </w:t>
      </w:r>
      <w:r w:rsidRPr="00144027">
        <w:rPr>
          <w:rFonts w:ascii="Times New Roman" w:eastAsia="Times New Roman" w:hAnsi="Times New Roman" w:cs="Times New Roman"/>
        </w:rPr>
        <w:t xml:space="preserve">longevity of women. All the reasons why women statistically outlive men are not clear. But categorizing people </w:t>
      </w:r>
      <w:proofErr w:type="gramStart"/>
      <w:r w:rsidRPr="00144027">
        <w:rPr>
          <w:rFonts w:ascii="Times New Roman" w:eastAsia="Times New Roman" w:hAnsi="Times New Roman" w:cs="Times New Roman"/>
        </w:rPr>
        <w:t>on the basis of</w:t>
      </w:r>
      <w:proofErr w:type="gramEnd"/>
      <w:r w:rsidRPr="00144027">
        <w:rPr>
          <w:rFonts w:ascii="Times New Roman" w:eastAsia="Times New Roman" w:hAnsi="Times New Roman" w:cs="Times New Roman"/>
        </w:rPr>
        <w:t xml:space="preserve"> sex, the one acknowledged immutable difference between men and women, is to take into account all of the unknown reasons, whether biologically or culturally based, or both, which give women a significantly greater life expectancy than men. It is therefore true as the Court says, "that any individual's life expectancy is based on a number of factors, of which sex is only one." Ante, at 712. But it is not true that by seizing upon the only constant, "measurable" factor, no others were </w:t>
      </w:r>
      <w:proofErr w:type="gramStart"/>
      <w:r w:rsidRPr="00144027">
        <w:rPr>
          <w:rFonts w:ascii="Times New Roman" w:eastAsia="Times New Roman" w:hAnsi="Times New Roman" w:cs="Times New Roman"/>
        </w:rPr>
        <w:t>taken into account</w:t>
      </w:r>
      <w:proofErr w:type="gramEnd"/>
      <w:r w:rsidRPr="00144027">
        <w:rPr>
          <w:rFonts w:ascii="Times New Roman" w:eastAsia="Times New Roman" w:hAnsi="Times New Roman" w:cs="Times New Roman"/>
        </w:rPr>
        <w:t xml:space="preserve">. All other factors, whether known but variable - or unknown - are the elements which automatically account for the actuarial disparity. And all are accounted for when the constant factor is used as a basis for determining the costs and benefits of a group pension plan. </w:t>
      </w:r>
    </w:p>
    <w:p w14:paraId="0B977D57" w14:textId="77777777" w:rsidR="00144027" w:rsidRPr="00144027" w:rsidRDefault="00144027" w:rsidP="00144027">
      <w:pPr>
        <w:spacing w:before="100" w:beforeAutospacing="1" w:after="100" w:afterAutospacing="1" w:line="240" w:lineRule="auto"/>
        <w:rPr>
          <w:rFonts w:ascii="Times New Roman" w:eastAsia="Times New Roman" w:hAnsi="Times New Roman" w:cs="Times New Roman"/>
        </w:rPr>
      </w:pPr>
      <w:r w:rsidRPr="00144027">
        <w:rPr>
          <w:rFonts w:ascii="Times New Roman" w:eastAsia="Times New Roman" w:hAnsi="Times New Roman" w:cs="Times New Roman"/>
        </w:rPr>
        <w:t xml:space="preserve">Here, of course, petitioners are discriminating in take-home pay between men and women. Cf. General Electric Co. v. Gilbert, </w:t>
      </w:r>
      <w:hyperlink r:id="rId21" w:history="1">
        <w:r w:rsidRPr="00144027">
          <w:rPr>
            <w:rFonts w:ascii="Times New Roman" w:eastAsia="Times New Roman" w:hAnsi="Times New Roman" w:cs="Times New Roman"/>
            <w:color w:val="0000FF"/>
            <w:u w:val="single"/>
          </w:rPr>
          <w:t xml:space="preserve">429 U.S. 125 </w:t>
        </w:r>
      </w:hyperlink>
      <w:r w:rsidRPr="00144027">
        <w:rPr>
          <w:rFonts w:ascii="Times New Roman" w:eastAsia="Times New Roman" w:hAnsi="Times New Roman" w:cs="Times New Roman"/>
        </w:rPr>
        <w:t xml:space="preserve">(1976); Nashville Gas Co. v. </w:t>
      </w:r>
      <w:proofErr w:type="spellStart"/>
      <w:r w:rsidRPr="00144027">
        <w:rPr>
          <w:rFonts w:ascii="Times New Roman" w:eastAsia="Times New Roman" w:hAnsi="Times New Roman" w:cs="Times New Roman"/>
        </w:rPr>
        <w:t>Satty</w:t>
      </w:r>
      <w:proofErr w:type="spellEnd"/>
      <w:r w:rsidRPr="00144027">
        <w:rPr>
          <w:rFonts w:ascii="Times New Roman" w:eastAsia="Times New Roman" w:hAnsi="Times New Roman" w:cs="Times New Roman"/>
        </w:rPr>
        <w:t xml:space="preserve">, </w:t>
      </w:r>
      <w:hyperlink r:id="rId22" w:history="1">
        <w:r w:rsidRPr="00144027">
          <w:rPr>
            <w:rFonts w:ascii="Times New Roman" w:eastAsia="Times New Roman" w:hAnsi="Times New Roman" w:cs="Times New Roman"/>
            <w:color w:val="0000FF"/>
            <w:u w:val="single"/>
          </w:rPr>
          <w:t xml:space="preserve">434 U.S. 136 </w:t>
        </w:r>
      </w:hyperlink>
      <w:r w:rsidRPr="00144027">
        <w:rPr>
          <w:rFonts w:ascii="Times New Roman" w:eastAsia="Times New Roman" w:hAnsi="Times New Roman" w:cs="Times New Roman"/>
        </w:rPr>
        <w:t xml:space="preserve">(1977). The practice of petitioners, however, falls squarely under the exemption provided by the Equal Pay Act of 1963, 29 U.S.C. 206 (d), incorporated into Title VII by the so-called Bennett Amendment, 78 Stat. 257, now 42 U.S.C. </w:t>
      </w:r>
      <w:proofErr w:type="spellStart"/>
      <w:r w:rsidRPr="00144027">
        <w:rPr>
          <w:rFonts w:ascii="Times New Roman" w:eastAsia="Times New Roman" w:hAnsi="Times New Roman" w:cs="Times New Roman"/>
        </w:rPr>
        <w:t>2000e</w:t>
      </w:r>
      <w:proofErr w:type="spellEnd"/>
      <w:r w:rsidRPr="00144027">
        <w:rPr>
          <w:rFonts w:ascii="Times New Roman" w:eastAsia="Times New Roman" w:hAnsi="Times New Roman" w:cs="Times New Roman"/>
        </w:rPr>
        <w:t xml:space="preserve">-2 (h). That exemption tells us that an employer may not discriminate between employees on the basis of sex by paying one sex lesser compensation than the other "except where such payment is made pursuant to . . . a differential based on any other factor other than sex </w:t>
      </w:r>
      <w:proofErr w:type="gramStart"/>
      <w:r w:rsidRPr="00144027">
        <w:rPr>
          <w:rFonts w:ascii="Times New Roman" w:eastAsia="Times New Roman" w:hAnsi="Times New Roman" w:cs="Times New Roman"/>
        </w:rPr>
        <w:t>. . . .</w:t>
      </w:r>
      <w:proofErr w:type="gramEnd"/>
      <w:r w:rsidRPr="00144027">
        <w:rPr>
          <w:rFonts w:ascii="Times New Roman" w:eastAsia="Times New Roman" w:hAnsi="Times New Roman" w:cs="Times New Roman"/>
        </w:rPr>
        <w:t xml:space="preserve">" The "other factor other than sex" is longevity; sex is the umbrella-constant under which </w:t>
      </w:r>
      <w:proofErr w:type="gramStart"/>
      <w:r w:rsidRPr="00144027">
        <w:rPr>
          <w:rFonts w:ascii="Times New Roman" w:eastAsia="Times New Roman" w:hAnsi="Times New Roman" w:cs="Times New Roman"/>
        </w:rPr>
        <w:t>all of</w:t>
      </w:r>
      <w:proofErr w:type="gramEnd"/>
      <w:r w:rsidRPr="00144027">
        <w:rPr>
          <w:rFonts w:ascii="Times New Roman" w:eastAsia="Times New Roman" w:hAnsi="Times New Roman" w:cs="Times New Roman"/>
        </w:rPr>
        <w:t xml:space="preserve"> the elements leading to differences in longevity are grouped and assimilated, and the only objective feature upon which an employer - or anyone else, including insurance companies - may reliably base a cost differential for the "risk" being insured. </w:t>
      </w:r>
    </w:p>
    <w:p w14:paraId="4DB023D5" w14:textId="77777777" w:rsidR="00144027" w:rsidRPr="00144027" w:rsidRDefault="00144027" w:rsidP="00144027">
      <w:pPr>
        <w:spacing w:before="100" w:beforeAutospacing="1" w:after="100" w:afterAutospacing="1" w:line="240" w:lineRule="auto"/>
        <w:rPr>
          <w:rFonts w:ascii="Times New Roman" w:eastAsia="Times New Roman" w:hAnsi="Times New Roman" w:cs="Times New Roman"/>
        </w:rPr>
      </w:pPr>
      <w:r w:rsidRPr="00144027">
        <w:rPr>
          <w:rFonts w:ascii="Times New Roman" w:eastAsia="Times New Roman" w:hAnsi="Times New Roman" w:cs="Times New Roman"/>
        </w:rPr>
        <w:t xml:space="preserve">This is in no sense a failure to treat women as "individuals" in violation of the statute, as the Court holds. It is to treat </w:t>
      </w:r>
      <w:bookmarkStart w:id="68" w:name="728"/>
      <w:r w:rsidRPr="00144027">
        <w:rPr>
          <w:rFonts w:ascii="Times New Roman" w:eastAsia="Times New Roman" w:hAnsi="Times New Roman" w:cs="Times New Roman"/>
          <w:color w:val="005500"/>
          <w:sz w:val="20"/>
          <w:szCs w:val="20"/>
        </w:rPr>
        <w:t xml:space="preserve">[435 U.S. 702, 728] </w:t>
      </w:r>
      <w:bookmarkEnd w:id="68"/>
      <w:r w:rsidRPr="00144027">
        <w:rPr>
          <w:rFonts w:ascii="Times New Roman" w:eastAsia="Times New Roman" w:hAnsi="Times New Roman" w:cs="Times New Roman"/>
          <w:color w:val="005500"/>
          <w:sz w:val="20"/>
          <w:szCs w:val="20"/>
        </w:rPr>
        <w:t xml:space="preserve">  </w:t>
      </w:r>
      <w:r w:rsidRPr="00144027">
        <w:rPr>
          <w:rFonts w:ascii="Times New Roman" w:eastAsia="Times New Roman" w:hAnsi="Times New Roman" w:cs="Times New Roman"/>
        </w:rPr>
        <w:t xml:space="preserve">them as individually as it is possible to do in the face of the unknowable length of each individual life. Individually, every woman has the same statistical possibility of outliving men. This is the essence of basing decisions on reliable statistics when individual determinations are infeasible or, as here, impossible. </w:t>
      </w:r>
    </w:p>
    <w:p w14:paraId="795B892D" w14:textId="77777777" w:rsidR="00144027" w:rsidRPr="00144027" w:rsidRDefault="00144027" w:rsidP="00144027">
      <w:pPr>
        <w:spacing w:before="100" w:beforeAutospacing="1" w:after="100" w:afterAutospacing="1" w:line="240" w:lineRule="auto"/>
        <w:rPr>
          <w:rFonts w:ascii="Times New Roman" w:eastAsia="Times New Roman" w:hAnsi="Times New Roman" w:cs="Times New Roman"/>
        </w:rPr>
      </w:pPr>
      <w:r w:rsidRPr="00144027">
        <w:rPr>
          <w:rFonts w:ascii="Times New Roman" w:eastAsia="Times New Roman" w:hAnsi="Times New Roman" w:cs="Times New Roman"/>
        </w:rPr>
        <w:t xml:space="preserve">Of course, women cannot be disqualified from, for example, heavy labor just because the generality of women are </w:t>
      </w:r>
      <w:proofErr w:type="spellStart"/>
      <w:r w:rsidRPr="00144027">
        <w:rPr>
          <w:rFonts w:ascii="Times New Roman" w:eastAsia="Times New Roman" w:hAnsi="Times New Roman" w:cs="Times New Roman"/>
        </w:rPr>
        <w:t>thought</w:t>
      </w:r>
      <w:proofErr w:type="spellEnd"/>
      <w:r w:rsidRPr="00144027">
        <w:rPr>
          <w:rFonts w:ascii="Times New Roman" w:eastAsia="Times New Roman" w:hAnsi="Times New Roman" w:cs="Times New Roman"/>
        </w:rPr>
        <w:t xml:space="preserve"> not as strong as men - a proposition which perhaps may sometime be statistically </w:t>
      </w:r>
      <w:proofErr w:type="gramStart"/>
      <w:r w:rsidRPr="00144027">
        <w:rPr>
          <w:rFonts w:ascii="Times New Roman" w:eastAsia="Times New Roman" w:hAnsi="Times New Roman" w:cs="Times New Roman"/>
        </w:rPr>
        <w:t>demonstrable, but</w:t>
      </w:r>
      <w:proofErr w:type="gramEnd"/>
      <w:r w:rsidRPr="00144027">
        <w:rPr>
          <w:rFonts w:ascii="Times New Roman" w:eastAsia="Times New Roman" w:hAnsi="Times New Roman" w:cs="Times New Roman"/>
        </w:rPr>
        <w:t xml:space="preserve"> will remain individually refutable. When, however, it is impossible to tailor a program such as a pension plan to the individual, nothing should prevent </w:t>
      </w:r>
      <w:r w:rsidRPr="00144027">
        <w:rPr>
          <w:rFonts w:ascii="Times New Roman" w:eastAsia="Times New Roman" w:hAnsi="Times New Roman" w:cs="Times New Roman"/>
        </w:rPr>
        <w:lastRenderedPageBreak/>
        <w:t xml:space="preserve">application of reliable statistical facts to the individual, for whom the facts cannot be disproved until long after planning, funding, and operating the program have been undertaken. </w:t>
      </w:r>
    </w:p>
    <w:p w14:paraId="47AA8BA4" w14:textId="77777777" w:rsidR="00144027" w:rsidRPr="00144027" w:rsidRDefault="00144027" w:rsidP="00144027">
      <w:pPr>
        <w:spacing w:before="100" w:beforeAutospacing="1" w:after="100" w:afterAutospacing="1" w:line="240" w:lineRule="auto"/>
        <w:rPr>
          <w:rFonts w:ascii="Times New Roman" w:eastAsia="Times New Roman" w:hAnsi="Times New Roman" w:cs="Times New Roman"/>
        </w:rPr>
      </w:pPr>
      <w:r w:rsidRPr="00144027">
        <w:rPr>
          <w:rFonts w:ascii="Times New Roman" w:eastAsia="Times New Roman" w:hAnsi="Times New Roman" w:cs="Times New Roman"/>
        </w:rPr>
        <w:t xml:space="preserve">I find it anomalous, if not contradictory, that the Court's opinion tells us, in effect, ante, at 717-718, and n. 33, that the holding is not really a barrier to responding to the complaints of men employees, as a group. The Court states that employers may give their employees precisely the same dollar amount and require them to secure their own annuities directly from an insurer, who, of course, is under no compulsion to ignore 135 years of accumulated, recorded longevity experience. </w:t>
      </w:r>
      <w:bookmarkStart w:id="69" w:name="ttt3"/>
      <w:r w:rsidRPr="00144027">
        <w:rPr>
          <w:rFonts w:ascii="Times New Roman" w:eastAsia="Times New Roman" w:hAnsi="Times New Roman" w:cs="Times New Roman"/>
        </w:rPr>
        <w:fldChar w:fldCharType="begin"/>
      </w:r>
      <w:r w:rsidRPr="00144027">
        <w:rPr>
          <w:rFonts w:ascii="Times New Roman" w:eastAsia="Times New Roman" w:hAnsi="Times New Roman" w:cs="Times New Roman"/>
        </w:rPr>
        <w:instrText xml:space="preserve"> HYPERLINK "https://caselaw.findlaw.com/us-supreme-court/435/702.html" \l "fff3" </w:instrText>
      </w:r>
      <w:r w:rsidRPr="00144027">
        <w:rPr>
          <w:rFonts w:ascii="Times New Roman" w:eastAsia="Times New Roman" w:hAnsi="Times New Roman" w:cs="Times New Roman"/>
        </w:rPr>
        <w:fldChar w:fldCharType="separate"/>
      </w:r>
      <w:r w:rsidRPr="00144027">
        <w:rPr>
          <w:rFonts w:ascii="Times New Roman" w:eastAsia="Times New Roman" w:hAnsi="Times New Roman" w:cs="Times New Roman"/>
          <w:color w:val="0000FF"/>
          <w:u w:val="single"/>
        </w:rPr>
        <w:t xml:space="preserve">3 </w:t>
      </w:r>
      <w:r w:rsidRPr="00144027">
        <w:rPr>
          <w:rFonts w:ascii="Times New Roman" w:eastAsia="Times New Roman" w:hAnsi="Times New Roman" w:cs="Times New Roman"/>
        </w:rPr>
        <w:fldChar w:fldCharType="end"/>
      </w:r>
      <w:bookmarkEnd w:id="69"/>
      <w:r w:rsidRPr="00144027">
        <w:rPr>
          <w:rFonts w:ascii="Times New Roman" w:eastAsia="Times New Roman" w:hAnsi="Times New Roman" w:cs="Times New Roman"/>
        </w:rPr>
        <w:t xml:space="preserve">  </w:t>
      </w:r>
    </w:p>
    <w:p w14:paraId="74BBFC00" w14:textId="77777777" w:rsidR="00144027" w:rsidRPr="00144027" w:rsidRDefault="00144027" w:rsidP="00144027">
      <w:pPr>
        <w:spacing w:before="100" w:beforeAutospacing="1" w:after="100" w:afterAutospacing="1" w:line="240" w:lineRule="auto"/>
        <w:rPr>
          <w:rFonts w:ascii="Times New Roman" w:eastAsia="Times New Roman" w:hAnsi="Times New Roman" w:cs="Times New Roman"/>
        </w:rPr>
      </w:pPr>
      <w:r w:rsidRPr="00144027">
        <w:rPr>
          <w:rFonts w:ascii="Times New Roman" w:eastAsia="Times New Roman" w:hAnsi="Times New Roman" w:cs="Times New Roman"/>
        </w:rPr>
        <w:t xml:space="preserve">[ </w:t>
      </w:r>
      <w:bookmarkStart w:id="70" w:name="fff1"/>
      <w:r w:rsidRPr="00144027">
        <w:rPr>
          <w:rFonts w:ascii="Times New Roman" w:eastAsia="Times New Roman" w:hAnsi="Times New Roman" w:cs="Times New Roman"/>
        </w:rPr>
        <w:fldChar w:fldCharType="begin"/>
      </w:r>
      <w:r w:rsidRPr="00144027">
        <w:rPr>
          <w:rFonts w:ascii="Times New Roman" w:eastAsia="Times New Roman" w:hAnsi="Times New Roman" w:cs="Times New Roman"/>
        </w:rPr>
        <w:instrText xml:space="preserve"> HYPERLINK "https://caselaw.findlaw.com/us-supreme-court/435/702.html" \l "ttt1" </w:instrText>
      </w:r>
      <w:r w:rsidRPr="00144027">
        <w:rPr>
          <w:rFonts w:ascii="Times New Roman" w:eastAsia="Times New Roman" w:hAnsi="Times New Roman" w:cs="Times New Roman"/>
        </w:rPr>
        <w:fldChar w:fldCharType="separate"/>
      </w:r>
      <w:r w:rsidRPr="00144027">
        <w:rPr>
          <w:rFonts w:ascii="Times New Roman" w:eastAsia="Times New Roman" w:hAnsi="Times New Roman" w:cs="Times New Roman"/>
          <w:color w:val="0000FF"/>
          <w:u w:val="single"/>
        </w:rPr>
        <w:t xml:space="preserve">Footnote 1 </w:t>
      </w:r>
      <w:r w:rsidRPr="00144027">
        <w:rPr>
          <w:rFonts w:ascii="Times New Roman" w:eastAsia="Times New Roman" w:hAnsi="Times New Roman" w:cs="Times New Roman"/>
        </w:rPr>
        <w:fldChar w:fldCharType="end"/>
      </w:r>
      <w:bookmarkEnd w:id="70"/>
      <w:r w:rsidRPr="00144027">
        <w:rPr>
          <w:rFonts w:ascii="Times New Roman" w:eastAsia="Times New Roman" w:hAnsi="Times New Roman" w:cs="Times New Roman"/>
        </w:rPr>
        <w:t xml:space="preserve">] See H. Moir, Sources and Characteristics of the Principal Mortality Tables 10, 14 (1919). </w:t>
      </w:r>
    </w:p>
    <w:p w14:paraId="6ABF7BA4" w14:textId="77777777" w:rsidR="00144027" w:rsidRPr="00144027" w:rsidRDefault="00144027" w:rsidP="00144027">
      <w:pPr>
        <w:spacing w:before="100" w:beforeAutospacing="1" w:after="100" w:afterAutospacing="1" w:line="240" w:lineRule="auto"/>
        <w:rPr>
          <w:rFonts w:ascii="Times New Roman" w:eastAsia="Times New Roman" w:hAnsi="Times New Roman" w:cs="Times New Roman"/>
        </w:rPr>
      </w:pPr>
      <w:r w:rsidRPr="00144027">
        <w:rPr>
          <w:rFonts w:ascii="Times New Roman" w:eastAsia="Times New Roman" w:hAnsi="Times New Roman" w:cs="Times New Roman"/>
        </w:rPr>
        <w:t xml:space="preserve">[ </w:t>
      </w:r>
      <w:bookmarkStart w:id="71" w:name="fff2"/>
      <w:r w:rsidRPr="00144027">
        <w:rPr>
          <w:rFonts w:ascii="Times New Roman" w:eastAsia="Times New Roman" w:hAnsi="Times New Roman" w:cs="Times New Roman"/>
        </w:rPr>
        <w:fldChar w:fldCharType="begin"/>
      </w:r>
      <w:r w:rsidRPr="00144027">
        <w:rPr>
          <w:rFonts w:ascii="Times New Roman" w:eastAsia="Times New Roman" w:hAnsi="Times New Roman" w:cs="Times New Roman"/>
        </w:rPr>
        <w:instrText xml:space="preserve"> HYPERLINK "https://caselaw.findlaw.com/us-supreme-court/435/702.html" \l "ttt2" </w:instrText>
      </w:r>
      <w:r w:rsidRPr="00144027">
        <w:rPr>
          <w:rFonts w:ascii="Times New Roman" w:eastAsia="Times New Roman" w:hAnsi="Times New Roman" w:cs="Times New Roman"/>
        </w:rPr>
        <w:fldChar w:fldCharType="separate"/>
      </w:r>
      <w:r w:rsidRPr="00144027">
        <w:rPr>
          <w:rFonts w:ascii="Times New Roman" w:eastAsia="Times New Roman" w:hAnsi="Times New Roman" w:cs="Times New Roman"/>
          <w:color w:val="0000FF"/>
          <w:u w:val="single"/>
        </w:rPr>
        <w:t xml:space="preserve">Footnote 2 </w:t>
      </w:r>
      <w:r w:rsidRPr="00144027">
        <w:rPr>
          <w:rFonts w:ascii="Times New Roman" w:eastAsia="Times New Roman" w:hAnsi="Times New Roman" w:cs="Times New Roman"/>
        </w:rPr>
        <w:fldChar w:fldCharType="end"/>
      </w:r>
      <w:bookmarkEnd w:id="71"/>
      <w:r w:rsidRPr="00144027">
        <w:rPr>
          <w:rFonts w:ascii="Times New Roman" w:eastAsia="Times New Roman" w:hAnsi="Times New Roman" w:cs="Times New Roman"/>
        </w:rPr>
        <w:t xml:space="preserve">] See, e. g., United Nations, 1970 Demographic Yearbook 710-729 (1971). </w:t>
      </w:r>
    </w:p>
    <w:p w14:paraId="4EF7354B" w14:textId="77777777" w:rsidR="00144027" w:rsidRPr="00144027" w:rsidRDefault="00144027" w:rsidP="00144027">
      <w:pPr>
        <w:spacing w:before="100" w:beforeAutospacing="1" w:after="100" w:afterAutospacing="1" w:line="240" w:lineRule="auto"/>
        <w:rPr>
          <w:rFonts w:ascii="Times New Roman" w:eastAsia="Times New Roman" w:hAnsi="Times New Roman" w:cs="Times New Roman"/>
        </w:rPr>
      </w:pPr>
      <w:r w:rsidRPr="00144027">
        <w:rPr>
          <w:rFonts w:ascii="Times New Roman" w:eastAsia="Times New Roman" w:hAnsi="Times New Roman" w:cs="Times New Roman"/>
        </w:rPr>
        <w:t xml:space="preserve">[ </w:t>
      </w:r>
      <w:bookmarkStart w:id="72" w:name="fff3"/>
      <w:r w:rsidRPr="00144027">
        <w:rPr>
          <w:rFonts w:ascii="Times New Roman" w:eastAsia="Times New Roman" w:hAnsi="Times New Roman" w:cs="Times New Roman"/>
        </w:rPr>
        <w:fldChar w:fldCharType="begin"/>
      </w:r>
      <w:r w:rsidRPr="00144027">
        <w:rPr>
          <w:rFonts w:ascii="Times New Roman" w:eastAsia="Times New Roman" w:hAnsi="Times New Roman" w:cs="Times New Roman"/>
        </w:rPr>
        <w:instrText xml:space="preserve"> HYPERLINK "https://caselaw.findlaw.com/us-supreme-court/435/702.html" \l "ttt3" </w:instrText>
      </w:r>
      <w:r w:rsidRPr="00144027">
        <w:rPr>
          <w:rFonts w:ascii="Times New Roman" w:eastAsia="Times New Roman" w:hAnsi="Times New Roman" w:cs="Times New Roman"/>
        </w:rPr>
        <w:fldChar w:fldCharType="separate"/>
      </w:r>
      <w:r w:rsidRPr="00144027">
        <w:rPr>
          <w:rFonts w:ascii="Times New Roman" w:eastAsia="Times New Roman" w:hAnsi="Times New Roman" w:cs="Times New Roman"/>
          <w:color w:val="0000FF"/>
          <w:u w:val="single"/>
        </w:rPr>
        <w:t xml:space="preserve">Footnote 3 </w:t>
      </w:r>
      <w:r w:rsidRPr="00144027">
        <w:rPr>
          <w:rFonts w:ascii="Times New Roman" w:eastAsia="Times New Roman" w:hAnsi="Times New Roman" w:cs="Times New Roman"/>
        </w:rPr>
        <w:fldChar w:fldCharType="end"/>
      </w:r>
      <w:bookmarkEnd w:id="72"/>
      <w:r w:rsidRPr="00144027">
        <w:rPr>
          <w:rFonts w:ascii="Times New Roman" w:eastAsia="Times New Roman" w:hAnsi="Times New Roman" w:cs="Times New Roman"/>
        </w:rPr>
        <w:t xml:space="preserve">] This case, of course, has nothing to do with discrimination because of race, color, religion, or national origin, cf. ante, at 709, and </w:t>
      </w:r>
      <w:proofErr w:type="spellStart"/>
      <w:r w:rsidRPr="00144027">
        <w:rPr>
          <w:rFonts w:ascii="Times New Roman" w:eastAsia="Times New Roman" w:hAnsi="Times New Roman" w:cs="Times New Roman"/>
        </w:rPr>
        <w:t>nn</w:t>
      </w:r>
      <w:proofErr w:type="spellEnd"/>
      <w:r w:rsidRPr="00144027">
        <w:rPr>
          <w:rFonts w:ascii="Times New Roman" w:eastAsia="Times New Roman" w:hAnsi="Times New Roman" w:cs="Times New Roman"/>
        </w:rPr>
        <w:t xml:space="preserve">. 15 and 16. The qualification the Bennett Amendment permitted by its incorporation of the Equal Pay Act pertained only to claims of discrimination because of sex. </w:t>
      </w:r>
    </w:p>
    <w:p w14:paraId="7CC45B9A" w14:textId="77777777" w:rsidR="00144027" w:rsidRPr="00144027" w:rsidRDefault="00144027" w:rsidP="00144027">
      <w:pPr>
        <w:spacing w:before="100" w:beforeAutospacing="1" w:after="100" w:afterAutospacing="1" w:line="240" w:lineRule="auto"/>
        <w:rPr>
          <w:rFonts w:ascii="Times New Roman" w:eastAsia="Times New Roman" w:hAnsi="Times New Roman" w:cs="Times New Roman"/>
        </w:rPr>
      </w:pPr>
      <w:r w:rsidRPr="00144027">
        <w:rPr>
          <w:rFonts w:ascii="Times New Roman" w:eastAsia="Times New Roman" w:hAnsi="Times New Roman" w:cs="Times New Roman"/>
        </w:rPr>
        <w:t xml:space="preserve">MR. JUSTICE MARSHALL, concurring in part and dissenting in part. </w:t>
      </w:r>
    </w:p>
    <w:p w14:paraId="13FB2F97" w14:textId="77777777" w:rsidR="00144027" w:rsidRPr="00144027" w:rsidRDefault="00144027" w:rsidP="00144027">
      <w:pPr>
        <w:spacing w:before="100" w:beforeAutospacing="1" w:after="100" w:afterAutospacing="1" w:line="240" w:lineRule="auto"/>
        <w:rPr>
          <w:rFonts w:ascii="Times New Roman" w:eastAsia="Times New Roman" w:hAnsi="Times New Roman" w:cs="Times New Roman"/>
        </w:rPr>
      </w:pPr>
      <w:r w:rsidRPr="00144027">
        <w:rPr>
          <w:rFonts w:ascii="Times New Roman" w:eastAsia="Times New Roman" w:hAnsi="Times New Roman" w:cs="Times New Roman"/>
        </w:rPr>
        <w:t xml:space="preserve">I agree that Title VII of the Civil Rights Act of 1964, as amended, forbids petitioners' practice of requiring female employees to make larger contributions to a pension fund than </w:t>
      </w:r>
      <w:bookmarkStart w:id="73" w:name="729"/>
      <w:r w:rsidRPr="00144027">
        <w:rPr>
          <w:rFonts w:ascii="Times New Roman" w:eastAsia="Times New Roman" w:hAnsi="Times New Roman" w:cs="Times New Roman"/>
          <w:color w:val="005500"/>
          <w:sz w:val="20"/>
          <w:szCs w:val="20"/>
        </w:rPr>
        <w:t xml:space="preserve">[435 U.S. 702, 729] </w:t>
      </w:r>
      <w:bookmarkEnd w:id="73"/>
      <w:r w:rsidRPr="00144027">
        <w:rPr>
          <w:rFonts w:ascii="Times New Roman" w:eastAsia="Times New Roman" w:hAnsi="Times New Roman" w:cs="Times New Roman"/>
          <w:color w:val="005500"/>
          <w:sz w:val="20"/>
          <w:szCs w:val="20"/>
        </w:rPr>
        <w:t xml:space="preserve">  </w:t>
      </w:r>
      <w:r w:rsidRPr="00144027">
        <w:rPr>
          <w:rFonts w:ascii="Times New Roman" w:eastAsia="Times New Roman" w:hAnsi="Times New Roman" w:cs="Times New Roman"/>
        </w:rPr>
        <w:t xml:space="preserve">do male employees. I therefore join </w:t>
      </w:r>
      <w:proofErr w:type="gramStart"/>
      <w:r w:rsidRPr="00144027">
        <w:rPr>
          <w:rFonts w:ascii="Times New Roman" w:eastAsia="Times New Roman" w:hAnsi="Times New Roman" w:cs="Times New Roman"/>
        </w:rPr>
        <w:t>all of</w:t>
      </w:r>
      <w:proofErr w:type="gramEnd"/>
      <w:r w:rsidRPr="00144027">
        <w:rPr>
          <w:rFonts w:ascii="Times New Roman" w:eastAsia="Times New Roman" w:hAnsi="Times New Roman" w:cs="Times New Roman"/>
        </w:rPr>
        <w:t xml:space="preserve"> the Court's opinion except Part IV. </w:t>
      </w:r>
    </w:p>
    <w:p w14:paraId="265D6516" w14:textId="77777777" w:rsidR="00144027" w:rsidRPr="00144027" w:rsidRDefault="00144027" w:rsidP="00144027">
      <w:pPr>
        <w:spacing w:before="100" w:beforeAutospacing="1" w:after="100" w:afterAutospacing="1" w:line="240" w:lineRule="auto"/>
        <w:rPr>
          <w:rFonts w:ascii="Times New Roman" w:eastAsia="Times New Roman" w:hAnsi="Times New Roman" w:cs="Times New Roman"/>
        </w:rPr>
      </w:pPr>
      <w:r w:rsidRPr="00144027">
        <w:rPr>
          <w:rFonts w:ascii="Times New Roman" w:eastAsia="Times New Roman" w:hAnsi="Times New Roman" w:cs="Times New Roman"/>
        </w:rPr>
        <w:t xml:space="preserve">I also agree with the Court's statement in Part IV that, once a Title VII violation is found, Albemarle Paper Co. v. Moody, </w:t>
      </w:r>
      <w:hyperlink r:id="rId23" w:history="1">
        <w:r w:rsidRPr="00144027">
          <w:rPr>
            <w:rFonts w:ascii="Times New Roman" w:eastAsia="Times New Roman" w:hAnsi="Times New Roman" w:cs="Times New Roman"/>
            <w:color w:val="0000FF"/>
            <w:u w:val="single"/>
          </w:rPr>
          <w:t xml:space="preserve">422 U.S. 405 </w:t>
        </w:r>
      </w:hyperlink>
      <w:r w:rsidRPr="00144027">
        <w:rPr>
          <w:rFonts w:ascii="Times New Roman" w:eastAsia="Times New Roman" w:hAnsi="Times New Roman" w:cs="Times New Roman"/>
        </w:rPr>
        <w:t xml:space="preserve">(1975), establishes a "presumption in favor of retroactive liability" and that this presumption "can seldom be overcome." Ante, at 719. But I do not agree that the presumption should be deemed overcome in this case, especially since the relief was granted by the District Court in the exercise of its discretion and was upheld by the Court of Appeals. I would affirm the decision below and therefore cannot join Part IV of the Court's opinion or the Court's judgment. </w:t>
      </w:r>
    </w:p>
    <w:p w14:paraId="67FBBD6E" w14:textId="77777777" w:rsidR="00144027" w:rsidRPr="00144027" w:rsidRDefault="00144027" w:rsidP="00144027">
      <w:pPr>
        <w:spacing w:before="100" w:beforeAutospacing="1" w:after="100" w:afterAutospacing="1" w:line="240" w:lineRule="auto"/>
        <w:rPr>
          <w:rFonts w:ascii="Times New Roman" w:eastAsia="Times New Roman" w:hAnsi="Times New Roman" w:cs="Times New Roman"/>
        </w:rPr>
      </w:pPr>
      <w:r w:rsidRPr="00144027">
        <w:rPr>
          <w:rFonts w:ascii="Times New Roman" w:eastAsia="Times New Roman" w:hAnsi="Times New Roman" w:cs="Times New Roman"/>
        </w:rPr>
        <w:t xml:space="preserve">In Albemarle Paper Co. v. Moody, supra, this Court made clear that, subject to the presumption in favor of retroactive relief, the District Court retains its "traditional" equitable discretion "to locate `a just result,'" with appellate review limited to determining "whether the District Court was `clearly erroneous' in its factual findings and whether it `abused' its . . . discretion." </w:t>
      </w:r>
      <w:hyperlink r:id="rId24" w:anchor="424" w:history="1">
        <w:r w:rsidRPr="00144027">
          <w:rPr>
            <w:rFonts w:ascii="Times New Roman" w:eastAsia="Times New Roman" w:hAnsi="Times New Roman" w:cs="Times New Roman"/>
            <w:color w:val="0000FF"/>
            <w:u w:val="single"/>
          </w:rPr>
          <w:t xml:space="preserve">422 U.S., at 424 </w:t>
        </w:r>
      </w:hyperlink>
      <w:r w:rsidRPr="00144027">
        <w:rPr>
          <w:rFonts w:ascii="Times New Roman" w:eastAsia="Times New Roman" w:hAnsi="Times New Roman" w:cs="Times New Roman"/>
        </w:rPr>
        <w:t xml:space="preserve">. See also Fed. Rule Civ. Proc. 52 (a) (district court findings "shall not be set aside unless clearly erroneous"); Zenith Radio Corp. v. Hazeltine Research, Inc., </w:t>
      </w:r>
      <w:hyperlink r:id="rId25" w:anchor="123" w:history="1">
        <w:r w:rsidRPr="00144027">
          <w:rPr>
            <w:rFonts w:ascii="Times New Roman" w:eastAsia="Times New Roman" w:hAnsi="Times New Roman" w:cs="Times New Roman"/>
            <w:color w:val="0000FF"/>
            <w:u w:val="single"/>
          </w:rPr>
          <w:t xml:space="preserve">395 U.S. 100, 123 </w:t>
        </w:r>
      </w:hyperlink>
      <w:r w:rsidRPr="00144027">
        <w:rPr>
          <w:rFonts w:ascii="Times New Roman" w:eastAsia="Times New Roman" w:hAnsi="Times New Roman" w:cs="Times New Roman"/>
        </w:rPr>
        <w:t xml:space="preserve">(1969). The Court here does not assert that any findings of the District Court were clearly erroneous, nor does it conclude that there was any abuse of discretion. Instead, it states merely that the District Court gave "insufficient attention" to certain factors in striking the equitable balance. Ante, at 719. </w:t>
      </w:r>
    </w:p>
    <w:p w14:paraId="3F9F06E4" w14:textId="77777777" w:rsidR="00144027" w:rsidRPr="00144027" w:rsidRDefault="00144027" w:rsidP="00144027">
      <w:pPr>
        <w:spacing w:before="100" w:beforeAutospacing="1" w:after="100" w:afterAutospacing="1" w:line="240" w:lineRule="auto"/>
        <w:rPr>
          <w:rFonts w:ascii="Times New Roman" w:eastAsia="Times New Roman" w:hAnsi="Times New Roman" w:cs="Times New Roman"/>
        </w:rPr>
      </w:pPr>
      <w:r w:rsidRPr="00144027">
        <w:rPr>
          <w:rFonts w:ascii="Times New Roman" w:eastAsia="Times New Roman" w:hAnsi="Times New Roman" w:cs="Times New Roman"/>
        </w:rPr>
        <w:lastRenderedPageBreak/>
        <w:t xml:space="preserve">The first such factor mentioned by the Court relates to the "complexity" of the issue presented here, which may have led some pension fund administrators to assume that "a program like the Department's was entirely lawful," and that the alternative of equal contributions was perhaps unlawful because of a perceived "unfair[ness]" to men. Ante, at 720. The District Court found, however, that petitioners "should have been placed on notice" of the illegality of requiring larger </w:t>
      </w:r>
      <w:bookmarkStart w:id="74" w:name="730"/>
      <w:r w:rsidRPr="00144027">
        <w:rPr>
          <w:rFonts w:ascii="Times New Roman" w:eastAsia="Times New Roman" w:hAnsi="Times New Roman" w:cs="Times New Roman"/>
          <w:color w:val="005500"/>
          <w:sz w:val="20"/>
          <w:szCs w:val="20"/>
        </w:rPr>
        <w:t xml:space="preserve">[435 U.S. 702, 730] </w:t>
      </w:r>
      <w:bookmarkEnd w:id="74"/>
      <w:r w:rsidRPr="00144027">
        <w:rPr>
          <w:rFonts w:ascii="Times New Roman" w:eastAsia="Times New Roman" w:hAnsi="Times New Roman" w:cs="Times New Roman"/>
          <w:color w:val="005500"/>
          <w:sz w:val="20"/>
          <w:szCs w:val="20"/>
        </w:rPr>
        <w:t xml:space="preserve">  </w:t>
      </w:r>
      <w:r w:rsidRPr="00144027">
        <w:rPr>
          <w:rFonts w:ascii="Times New Roman" w:eastAsia="Times New Roman" w:hAnsi="Times New Roman" w:cs="Times New Roman"/>
        </w:rPr>
        <w:t xml:space="preserve">contributions from women on April 5, 1972, when the Equal Employment Opportunity Commission amended its regulations to make this illegality clear. </w:t>
      </w:r>
      <w:bookmarkStart w:id="75" w:name="tt1"/>
      <w:r w:rsidRPr="00144027">
        <w:rPr>
          <w:rFonts w:ascii="Times New Roman" w:eastAsia="Times New Roman" w:hAnsi="Times New Roman" w:cs="Times New Roman"/>
        </w:rPr>
        <w:fldChar w:fldCharType="begin"/>
      </w:r>
      <w:r w:rsidRPr="00144027">
        <w:rPr>
          <w:rFonts w:ascii="Times New Roman" w:eastAsia="Times New Roman" w:hAnsi="Times New Roman" w:cs="Times New Roman"/>
        </w:rPr>
        <w:instrText xml:space="preserve"> HYPERLINK "https://caselaw.findlaw.com/us-supreme-court/435/702.html" \l "ff1" </w:instrText>
      </w:r>
      <w:r w:rsidRPr="00144027">
        <w:rPr>
          <w:rFonts w:ascii="Times New Roman" w:eastAsia="Times New Roman" w:hAnsi="Times New Roman" w:cs="Times New Roman"/>
        </w:rPr>
        <w:fldChar w:fldCharType="separate"/>
      </w:r>
      <w:r w:rsidRPr="00144027">
        <w:rPr>
          <w:rFonts w:ascii="Times New Roman" w:eastAsia="Times New Roman" w:hAnsi="Times New Roman" w:cs="Times New Roman"/>
          <w:color w:val="0000FF"/>
          <w:u w:val="single"/>
        </w:rPr>
        <w:t xml:space="preserve">1 </w:t>
      </w:r>
      <w:r w:rsidRPr="00144027">
        <w:rPr>
          <w:rFonts w:ascii="Times New Roman" w:eastAsia="Times New Roman" w:hAnsi="Times New Roman" w:cs="Times New Roman"/>
        </w:rPr>
        <w:fldChar w:fldCharType="end"/>
      </w:r>
      <w:bookmarkEnd w:id="75"/>
      <w:r w:rsidRPr="00144027">
        <w:rPr>
          <w:rFonts w:ascii="Times New Roman" w:eastAsia="Times New Roman" w:hAnsi="Times New Roman" w:cs="Times New Roman"/>
        </w:rPr>
        <w:t xml:space="preserve">The retroactive relief ordered by the District Court ran from April 5, 1972, through December 31, 1974, after which date petitioners changed to an equal contribution program. See ante, at 706. Even if the April 1972 beginning date were too early, as the Court contends, ante, at 719 n. 36, </w:t>
      </w:r>
      <w:bookmarkStart w:id="76" w:name="tt2"/>
      <w:r w:rsidRPr="00144027">
        <w:rPr>
          <w:rFonts w:ascii="Times New Roman" w:eastAsia="Times New Roman" w:hAnsi="Times New Roman" w:cs="Times New Roman"/>
        </w:rPr>
        <w:fldChar w:fldCharType="begin"/>
      </w:r>
      <w:r w:rsidRPr="00144027">
        <w:rPr>
          <w:rFonts w:ascii="Times New Roman" w:eastAsia="Times New Roman" w:hAnsi="Times New Roman" w:cs="Times New Roman"/>
        </w:rPr>
        <w:instrText xml:space="preserve"> HYPERLINK "https://caselaw.findlaw.com/us-supreme-court/435/702.html" \l "ff2" </w:instrText>
      </w:r>
      <w:r w:rsidRPr="00144027">
        <w:rPr>
          <w:rFonts w:ascii="Times New Roman" w:eastAsia="Times New Roman" w:hAnsi="Times New Roman" w:cs="Times New Roman"/>
        </w:rPr>
        <w:fldChar w:fldCharType="separate"/>
      </w:r>
      <w:r w:rsidRPr="00144027">
        <w:rPr>
          <w:rFonts w:ascii="Times New Roman" w:eastAsia="Times New Roman" w:hAnsi="Times New Roman" w:cs="Times New Roman"/>
          <w:color w:val="0000FF"/>
          <w:u w:val="single"/>
        </w:rPr>
        <w:t xml:space="preserve">2 </w:t>
      </w:r>
      <w:r w:rsidRPr="00144027">
        <w:rPr>
          <w:rFonts w:ascii="Times New Roman" w:eastAsia="Times New Roman" w:hAnsi="Times New Roman" w:cs="Times New Roman"/>
        </w:rPr>
        <w:fldChar w:fldCharType="end"/>
      </w:r>
      <w:bookmarkEnd w:id="76"/>
      <w:r w:rsidRPr="00144027">
        <w:rPr>
          <w:rFonts w:ascii="Times New Roman" w:eastAsia="Times New Roman" w:hAnsi="Times New Roman" w:cs="Times New Roman"/>
        </w:rPr>
        <w:t xml:space="preserve">during the nearly three-year period involved there surely was some point at which "conscientious and intelligent administrators," ante, at 720, should have responded to the EEOC's guidelines. Yet the Court today denies all retroactive relief, without even knowing whether petitioners made any efforts to ascertain their </w:t>
      </w:r>
      <w:proofErr w:type="gramStart"/>
      <w:r w:rsidRPr="00144027">
        <w:rPr>
          <w:rFonts w:ascii="Times New Roman" w:eastAsia="Times New Roman" w:hAnsi="Times New Roman" w:cs="Times New Roman"/>
        </w:rPr>
        <w:t>particular plan's</w:t>
      </w:r>
      <w:proofErr w:type="gramEnd"/>
      <w:r w:rsidRPr="00144027">
        <w:rPr>
          <w:rFonts w:ascii="Times New Roman" w:eastAsia="Times New Roman" w:hAnsi="Times New Roman" w:cs="Times New Roman"/>
        </w:rPr>
        <w:t xml:space="preserve"> legality. </w:t>
      </w:r>
    </w:p>
    <w:p w14:paraId="52D8422D" w14:textId="77777777" w:rsidR="00144027" w:rsidRPr="00144027" w:rsidRDefault="00144027" w:rsidP="00144027">
      <w:pPr>
        <w:spacing w:before="100" w:beforeAutospacing="1" w:after="100" w:afterAutospacing="1" w:line="240" w:lineRule="auto"/>
        <w:rPr>
          <w:rFonts w:ascii="Times New Roman" w:eastAsia="Times New Roman" w:hAnsi="Times New Roman" w:cs="Times New Roman"/>
        </w:rPr>
      </w:pPr>
      <w:r w:rsidRPr="00144027">
        <w:rPr>
          <w:rFonts w:ascii="Times New Roman" w:eastAsia="Times New Roman" w:hAnsi="Times New Roman" w:cs="Times New Roman"/>
        </w:rPr>
        <w:t xml:space="preserve">The other major factor relied on by the Court involves "the potential impact . . . on the economy" that might result from </w:t>
      </w:r>
      <w:bookmarkStart w:id="77" w:name="731"/>
      <w:r w:rsidRPr="00144027">
        <w:rPr>
          <w:rFonts w:ascii="Times New Roman" w:eastAsia="Times New Roman" w:hAnsi="Times New Roman" w:cs="Times New Roman"/>
          <w:color w:val="005500"/>
          <w:sz w:val="20"/>
          <w:szCs w:val="20"/>
        </w:rPr>
        <w:t xml:space="preserve">[435 U.S. 702, 731] </w:t>
      </w:r>
      <w:bookmarkEnd w:id="77"/>
      <w:r w:rsidRPr="00144027">
        <w:rPr>
          <w:rFonts w:ascii="Times New Roman" w:eastAsia="Times New Roman" w:hAnsi="Times New Roman" w:cs="Times New Roman"/>
          <w:color w:val="005500"/>
          <w:sz w:val="20"/>
          <w:szCs w:val="20"/>
        </w:rPr>
        <w:t xml:space="preserve">  </w:t>
      </w:r>
      <w:r w:rsidRPr="00144027">
        <w:rPr>
          <w:rFonts w:ascii="Times New Roman" w:eastAsia="Times New Roman" w:hAnsi="Times New Roman" w:cs="Times New Roman"/>
        </w:rPr>
        <w:t>retroactive changes in "the rules" applying to pension and insurance funds. According to the Court, such changes could "</w:t>
      </w:r>
      <w:proofErr w:type="spellStart"/>
      <w:r w:rsidRPr="00144027">
        <w:rPr>
          <w:rFonts w:ascii="Times New Roman" w:eastAsia="Times New Roman" w:hAnsi="Times New Roman" w:cs="Times New Roman"/>
        </w:rPr>
        <w:t>jeopardiz</w:t>
      </w:r>
      <w:proofErr w:type="spellEnd"/>
      <w:r w:rsidRPr="00144027">
        <w:rPr>
          <w:rFonts w:ascii="Times New Roman" w:eastAsia="Times New Roman" w:hAnsi="Times New Roman" w:cs="Times New Roman"/>
        </w:rPr>
        <w:t xml:space="preserve">[e] [an] insurer's solvency and, ultimately, the insureds' benefits." Ante, at 721. As with the first factor, however, little reference is made by the Court to the situation in this case. No claim is made by either petitioners or the Court that the relief granted here would in any way have threatened the plan's solvency, or indeed that risks of this nature were not "foresee[n]" and thus "included in the calculation of liability" and reflected in "the rates or contributions charged," ibid. </w:t>
      </w:r>
      <w:bookmarkStart w:id="78" w:name="tt3"/>
      <w:r w:rsidRPr="00144027">
        <w:rPr>
          <w:rFonts w:ascii="Times New Roman" w:eastAsia="Times New Roman" w:hAnsi="Times New Roman" w:cs="Times New Roman"/>
        </w:rPr>
        <w:fldChar w:fldCharType="begin"/>
      </w:r>
      <w:r w:rsidRPr="00144027">
        <w:rPr>
          <w:rFonts w:ascii="Times New Roman" w:eastAsia="Times New Roman" w:hAnsi="Times New Roman" w:cs="Times New Roman"/>
        </w:rPr>
        <w:instrText xml:space="preserve"> HYPERLINK "https://caselaw.findlaw.com/us-supreme-court/435/702.html" \l "ff3" </w:instrText>
      </w:r>
      <w:r w:rsidRPr="00144027">
        <w:rPr>
          <w:rFonts w:ascii="Times New Roman" w:eastAsia="Times New Roman" w:hAnsi="Times New Roman" w:cs="Times New Roman"/>
        </w:rPr>
        <w:fldChar w:fldCharType="separate"/>
      </w:r>
      <w:r w:rsidRPr="00144027">
        <w:rPr>
          <w:rFonts w:ascii="Times New Roman" w:eastAsia="Times New Roman" w:hAnsi="Times New Roman" w:cs="Times New Roman"/>
          <w:color w:val="0000FF"/>
          <w:u w:val="single"/>
        </w:rPr>
        <w:t xml:space="preserve">3 </w:t>
      </w:r>
      <w:r w:rsidRPr="00144027">
        <w:rPr>
          <w:rFonts w:ascii="Times New Roman" w:eastAsia="Times New Roman" w:hAnsi="Times New Roman" w:cs="Times New Roman"/>
        </w:rPr>
        <w:fldChar w:fldCharType="end"/>
      </w:r>
      <w:bookmarkEnd w:id="78"/>
      <w:r w:rsidRPr="00144027">
        <w:rPr>
          <w:rFonts w:ascii="Times New Roman" w:eastAsia="Times New Roman" w:hAnsi="Times New Roman" w:cs="Times New Roman"/>
        </w:rPr>
        <w:t xml:space="preserve">No one has suggested, moreover, that the relatively modest award at issue - involving a small percentage of the amounts withheld from respondents' paychecks for pension purposes over a 33-month period, see 553 </w:t>
      </w:r>
      <w:proofErr w:type="spellStart"/>
      <w:r w:rsidRPr="00144027">
        <w:rPr>
          <w:rFonts w:ascii="Times New Roman" w:eastAsia="Times New Roman" w:hAnsi="Times New Roman" w:cs="Times New Roman"/>
        </w:rPr>
        <w:t>F.2d</w:t>
      </w:r>
      <w:proofErr w:type="spellEnd"/>
      <w:r w:rsidRPr="00144027">
        <w:rPr>
          <w:rFonts w:ascii="Times New Roman" w:eastAsia="Times New Roman" w:hAnsi="Times New Roman" w:cs="Times New Roman"/>
        </w:rPr>
        <w:t xml:space="preserve"> 581, 592 (</w:t>
      </w:r>
      <w:proofErr w:type="spellStart"/>
      <w:r w:rsidRPr="00144027">
        <w:rPr>
          <w:rFonts w:ascii="Times New Roman" w:eastAsia="Times New Roman" w:hAnsi="Times New Roman" w:cs="Times New Roman"/>
        </w:rPr>
        <w:t>CA9</w:t>
      </w:r>
      <w:proofErr w:type="spellEnd"/>
      <w:r w:rsidRPr="00144027">
        <w:rPr>
          <w:rFonts w:ascii="Times New Roman" w:eastAsia="Times New Roman" w:hAnsi="Times New Roman" w:cs="Times New Roman"/>
        </w:rPr>
        <w:t xml:space="preserve"> 1976) - could in any way be considered "devastating," ante, at 722. And if a "devastating" award were made </w:t>
      </w:r>
      <w:bookmarkStart w:id="79" w:name="732"/>
      <w:r w:rsidRPr="00144027">
        <w:rPr>
          <w:rFonts w:ascii="Times New Roman" w:eastAsia="Times New Roman" w:hAnsi="Times New Roman" w:cs="Times New Roman"/>
          <w:color w:val="005500"/>
          <w:sz w:val="20"/>
          <w:szCs w:val="20"/>
        </w:rPr>
        <w:t xml:space="preserve">[435 U.S. 702, 732] </w:t>
      </w:r>
      <w:bookmarkEnd w:id="79"/>
      <w:r w:rsidRPr="00144027">
        <w:rPr>
          <w:rFonts w:ascii="Times New Roman" w:eastAsia="Times New Roman" w:hAnsi="Times New Roman" w:cs="Times New Roman"/>
          <w:color w:val="005500"/>
          <w:sz w:val="20"/>
          <w:szCs w:val="20"/>
        </w:rPr>
        <w:t xml:space="preserve">  </w:t>
      </w:r>
      <w:r w:rsidRPr="00144027">
        <w:rPr>
          <w:rFonts w:ascii="Times New Roman" w:eastAsia="Times New Roman" w:hAnsi="Times New Roman" w:cs="Times New Roman"/>
        </w:rPr>
        <w:t xml:space="preserve">in some future case, this Court would have ample opportunity to strike it down at that time. </w:t>
      </w:r>
    </w:p>
    <w:p w14:paraId="4D6FA106" w14:textId="77777777" w:rsidR="00144027" w:rsidRPr="00144027" w:rsidRDefault="00144027" w:rsidP="00144027">
      <w:pPr>
        <w:spacing w:before="100" w:beforeAutospacing="1" w:after="100" w:afterAutospacing="1" w:line="240" w:lineRule="auto"/>
        <w:rPr>
          <w:rFonts w:ascii="Times New Roman" w:eastAsia="Times New Roman" w:hAnsi="Times New Roman" w:cs="Times New Roman"/>
        </w:rPr>
      </w:pPr>
      <w:r w:rsidRPr="00144027">
        <w:rPr>
          <w:rFonts w:ascii="Times New Roman" w:eastAsia="Times New Roman" w:hAnsi="Times New Roman" w:cs="Times New Roman"/>
        </w:rPr>
        <w:t xml:space="preserve">The necessarily speculative character of the Court's analysis in Part IV is underscored by its suggestion that the retroactive relief in this case would have led to a reduction in the benefits paid to retirees or an increase in the contributions paid by current employees. Ante, at 722-723. It states that taking the award out of the pension fund was "apparently contemplated" by the courts below, ante, at 723, but the District Court gave no indication of where it thought the recovery would come from. The Court of Appeals listed </w:t>
      </w:r>
      <w:proofErr w:type="gramStart"/>
      <w:r w:rsidRPr="00144027">
        <w:rPr>
          <w:rFonts w:ascii="Times New Roman" w:eastAsia="Times New Roman" w:hAnsi="Times New Roman" w:cs="Times New Roman"/>
        </w:rPr>
        <w:t>a number of</w:t>
      </w:r>
      <w:proofErr w:type="gramEnd"/>
      <w:r w:rsidRPr="00144027">
        <w:rPr>
          <w:rFonts w:ascii="Times New Roman" w:eastAsia="Times New Roman" w:hAnsi="Times New Roman" w:cs="Times New Roman"/>
        </w:rPr>
        <w:t xml:space="preserve"> ultimate sources of the money here involved, including increased employer contributions to the fund or one lump-sum payment from the Department. 553 </w:t>
      </w:r>
      <w:proofErr w:type="spellStart"/>
      <w:r w:rsidRPr="00144027">
        <w:rPr>
          <w:rFonts w:ascii="Times New Roman" w:eastAsia="Times New Roman" w:hAnsi="Times New Roman" w:cs="Times New Roman"/>
        </w:rPr>
        <w:t>F.2d</w:t>
      </w:r>
      <w:proofErr w:type="spellEnd"/>
      <w:r w:rsidRPr="00144027">
        <w:rPr>
          <w:rFonts w:ascii="Times New Roman" w:eastAsia="Times New Roman" w:hAnsi="Times New Roman" w:cs="Times New Roman"/>
        </w:rPr>
        <w:t xml:space="preserve">, at 592. Indeed, the Department itself contemplated that the money for the award would come from city revenues, Pet. for Cert. 30-31, with the Department thereby paying for this Title VII award in the same way that it would have to pay any ordinary backpay award arising from its discriminatory practices. Hence the possibility of "harm" falling on "innocent" retirees or employees, ante, at 723, is here largely chimerical. </w:t>
      </w:r>
    </w:p>
    <w:p w14:paraId="4E813381" w14:textId="77777777" w:rsidR="00144027" w:rsidRPr="00144027" w:rsidRDefault="00144027" w:rsidP="00144027">
      <w:pPr>
        <w:spacing w:before="100" w:beforeAutospacing="1" w:after="100" w:afterAutospacing="1" w:line="240" w:lineRule="auto"/>
        <w:rPr>
          <w:rFonts w:ascii="Times New Roman" w:eastAsia="Times New Roman" w:hAnsi="Times New Roman" w:cs="Times New Roman"/>
        </w:rPr>
      </w:pPr>
      <w:r w:rsidRPr="00144027">
        <w:rPr>
          <w:rFonts w:ascii="Times New Roman" w:eastAsia="Times New Roman" w:hAnsi="Times New Roman" w:cs="Times New Roman"/>
        </w:rPr>
        <w:t xml:space="preserve">There are thus several factors mentioned by the Court that might be important in some other case but that appear to provide little cause for concern in the case presently before us. To the extent that the Court believes that these factors were not adequately considered when the award of retroactive relief was made, moreover, surely the proper course would be a remand to the District </w:t>
      </w:r>
      <w:r w:rsidRPr="00144027">
        <w:rPr>
          <w:rFonts w:ascii="Times New Roman" w:eastAsia="Times New Roman" w:hAnsi="Times New Roman" w:cs="Times New Roman"/>
        </w:rPr>
        <w:lastRenderedPageBreak/>
        <w:t xml:space="preserve">Court for further findings and a new equitable assessment of the appropriate remedy. When the District Court was found to have abused its discretion by denying backpay in Albemarle, this Court did not take it upon itself to formulate an award; it remanded to the District Court for this purpose. </w:t>
      </w:r>
      <w:hyperlink r:id="rId26" w:anchor="424" w:history="1">
        <w:r w:rsidRPr="00144027">
          <w:rPr>
            <w:rFonts w:ascii="Times New Roman" w:eastAsia="Times New Roman" w:hAnsi="Times New Roman" w:cs="Times New Roman"/>
            <w:color w:val="0000FF"/>
            <w:u w:val="single"/>
          </w:rPr>
          <w:t xml:space="preserve">422 U.S., at 424 </w:t>
        </w:r>
      </w:hyperlink>
      <w:r w:rsidRPr="00144027">
        <w:rPr>
          <w:rFonts w:ascii="Times New Roman" w:eastAsia="Times New Roman" w:hAnsi="Times New Roman" w:cs="Times New Roman"/>
        </w:rPr>
        <w:t xml:space="preserve">, 436. there is no more reason for the Court here to deny all retroactive relief on its own; once the relevant legal considerations are established, the </w:t>
      </w:r>
      <w:bookmarkStart w:id="80" w:name="733"/>
      <w:r w:rsidRPr="00144027">
        <w:rPr>
          <w:rFonts w:ascii="Times New Roman" w:eastAsia="Times New Roman" w:hAnsi="Times New Roman" w:cs="Times New Roman"/>
          <w:color w:val="005500"/>
          <w:sz w:val="20"/>
          <w:szCs w:val="20"/>
        </w:rPr>
        <w:t xml:space="preserve">[435 U.S. 702, 733] </w:t>
      </w:r>
      <w:bookmarkEnd w:id="80"/>
      <w:r w:rsidRPr="00144027">
        <w:rPr>
          <w:rFonts w:ascii="Times New Roman" w:eastAsia="Times New Roman" w:hAnsi="Times New Roman" w:cs="Times New Roman"/>
          <w:color w:val="005500"/>
          <w:sz w:val="20"/>
          <w:szCs w:val="20"/>
        </w:rPr>
        <w:t xml:space="preserve">  </w:t>
      </w:r>
      <w:r w:rsidRPr="00144027">
        <w:rPr>
          <w:rFonts w:ascii="Times New Roman" w:eastAsia="Times New Roman" w:hAnsi="Times New Roman" w:cs="Times New Roman"/>
        </w:rPr>
        <w:t xml:space="preserve">task of finding the facts and applying the law to those facts is best left to the District Court, particularly when an equitable search for a "`just result'" is involved, id., at 424. </w:t>
      </w:r>
    </w:p>
    <w:p w14:paraId="4DA1AAEA" w14:textId="77777777" w:rsidR="00144027" w:rsidRPr="00144027" w:rsidRDefault="00144027" w:rsidP="00144027">
      <w:pPr>
        <w:spacing w:before="100" w:beforeAutospacing="1" w:after="100" w:afterAutospacing="1" w:line="240" w:lineRule="auto"/>
        <w:rPr>
          <w:rFonts w:ascii="Times New Roman" w:eastAsia="Times New Roman" w:hAnsi="Times New Roman" w:cs="Times New Roman"/>
        </w:rPr>
      </w:pPr>
      <w:r w:rsidRPr="00144027">
        <w:rPr>
          <w:rFonts w:ascii="Times New Roman" w:eastAsia="Times New Roman" w:hAnsi="Times New Roman" w:cs="Times New Roman"/>
        </w:rPr>
        <w:t xml:space="preserve">In this case, however, I do not believe that a remand is necessary. The District Court considered the question of when petitioners could be charged with knowledge of the state of the law, see supra, at 729-730, and petitioners do not challenge the </w:t>
      </w:r>
      <w:proofErr w:type="gramStart"/>
      <w:r w:rsidRPr="00144027">
        <w:rPr>
          <w:rFonts w:ascii="Times New Roman" w:eastAsia="Times New Roman" w:hAnsi="Times New Roman" w:cs="Times New Roman"/>
        </w:rPr>
        <w:t>particular date</w:t>
      </w:r>
      <w:proofErr w:type="gramEnd"/>
      <w:r w:rsidRPr="00144027">
        <w:rPr>
          <w:rFonts w:ascii="Times New Roman" w:eastAsia="Times New Roman" w:hAnsi="Times New Roman" w:cs="Times New Roman"/>
        </w:rPr>
        <w:t xml:space="preserve"> selected or claim that they needed time to adjust their plan. As discussed above, moreover, no claim is made that the Department's or the plan's solvency would have been threatened, and it appears unlikely that either retirees or employees would have paid any part of the award. There is every indication, in short, that the factors which the Court thinks might be important in some hypothetical </w:t>
      </w:r>
      <w:proofErr w:type="gramStart"/>
      <w:r w:rsidRPr="00144027">
        <w:rPr>
          <w:rFonts w:ascii="Times New Roman" w:eastAsia="Times New Roman" w:hAnsi="Times New Roman" w:cs="Times New Roman"/>
        </w:rPr>
        <w:t>case</w:t>
      </w:r>
      <w:proofErr w:type="gramEnd"/>
      <w:r w:rsidRPr="00144027">
        <w:rPr>
          <w:rFonts w:ascii="Times New Roman" w:eastAsia="Times New Roman" w:hAnsi="Times New Roman" w:cs="Times New Roman"/>
        </w:rPr>
        <w:t xml:space="preserve"> are of no concern to the petitioners who would have had to pay the award in this case. </w:t>
      </w:r>
    </w:p>
    <w:p w14:paraId="477BED84" w14:textId="10D47F92" w:rsidR="00144027" w:rsidRPr="00144027" w:rsidRDefault="00144027" w:rsidP="00945A75">
      <w:pPr>
        <w:spacing w:before="100" w:beforeAutospacing="1" w:after="100" w:afterAutospacing="1" w:line="240" w:lineRule="auto"/>
        <w:rPr>
          <w:rFonts w:ascii="Times New Roman" w:eastAsia="Times New Roman" w:hAnsi="Times New Roman" w:cs="Times New Roman"/>
        </w:rPr>
      </w:pPr>
      <w:r w:rsidRPr="00144027">
        <w:rPr>
          <w:rFonts w:ascii="Times New Roman" w:eastAsia="Times New Roman" w:hAnsi="Times New Roman" w:cs="Times New Roman"/>
        </w:rPr>
        <w:t xml:space="preserve">The Court today reaffirms "the force of the Albemarle presumption in favor of retroactive relief," ante, at 723, yet fails to give effect to the principal reason why the presumption exists. In Albemarle we emphasized that a "central" purpose of Title VII is "making persons whole for injuries suffered through past discrimination." </w:t>
      </w:r>
      <w:hyperlink r:id="rId27" w:anchor="421" w:history="1">
        <w:r w:rsidRPr="00144027">
          <w:rPr>
            <w:rFonts w:ascii="Times New Roman" w:eastAsia="Times New Roman" w:hAnsi="Times New Roman" w:cs="Times New Roman"/>
            <w:color w:val="0000FF"/>
            <w:u w:val="single"/>
          </w:rPr>
          <w:t xml:space="preserve">422 U.S., at 421 </w:t>
        </w:r>
      </w:hyperlink>
      <w:r w:rsidRPr="00144027">
        <w:rPr>
          <w:rFonts w:ascii="Times New Roman" w:eastAsia="Times New Roman" w:hAnsi="Times New Roman" w:cs="Times New Roman"/>
        </w:rPr>
        <w:t xml:space="preserve">; see id., at 418, 422. Respondents in this case cannot be "made whole" unless they receive a refund of the money that was illegally withheld from their paychecks by petitioners. Their claim to these funds is more compelling than is the claim in many backpay situations, where the person discriminated against receives payment for a period when he or she was not working. Here, as the Court of Appeals observed, respondents "actually earned the amount in question, but then had it taken from them in violation of Title VII." 553 </w:t>
      </w:r>
      <w:proofErr w:type="spellStart"/>
      <w:r w:rsidRPr="00144027">
        <w:rPr>
          <w:rFonts w:ascii="Times New Roman" w:eastAsia="Times New Roman" w:hAnsi="Times New Roman" w:cs="Times New Roman"/>
        </w:rPr>
        <w:t>F.2d</w:t>
      </w:r>
      <w:proofErr w:type="spellEnd"/>
      <w:r w:rsidRPr="00144027">
        <w:rPr>
          <w:rFonts w:ascii="Times New Roman" w:eastAsia="Times New Roman" w:hAnsi="Times New Roman" w:cs="Times New Roman"/>
        </w:rPr>
        <w:t xml:space="preserve">, at 592. In view of the strength of respondents' "restitution"-like claim, ibid., and in view of the statute's "central" make-whole purpose, Albemarle, </w:t>
      </w:r>
      <w:hyperlink r:id="rId28" w:anchor="421" w:history="1">
        <w:r w:rsidRPr="00144027">
          <w:rPr>
            <w:rFonts w:ascii="Times New Roman" w:eastAsia="Times New Roman" w:hAnsi="Times New Roman" w:cs="Times New Roman"/>
            <w:color w:val="0000FF"/>
            <w:u w:val="single"/>
          </w:rPr>
          <w:t xml:space="preserve">422 U.S., at 421 </w:t>
        </w:r>
      </w:hyperlink>
      <w:r w:rsidRPr="00144027">
        <w:rPr>
          <w:rFonts w:ascii="Times New Roman" w:eastAsia="Times New Roman" w:hAnsi="Times New Roman" w:cs="Times New Roman"/>
        </w:rPr>
        <w:t xml:space="preserve">, I would affirm the judgment of the Court of Appeals. </w:t>
      </w:r>
    </w:p>
    <w:p w14:paraId="14755C53" w14:textId="77777777" w:rsidR="00144027" w:rsidRPr="00144027" w:rsidRDefault="00144027" w:rsidP="00144027">
      <w:pPr>
        <w:pBdr>
          <w:bottom w:val="single" w:sz="6" w:space="1" w:color="auto"/>
        </w:pBdr>
        <w:spacing w:after="0" w:line="240" w:lineRule="auto"/>
        <w:jc w:val="center"/>
        <w:rPr>
          <w:rFonts w:eastAsia="Times New Roman"/>
          <w:vanish/>
          <w:sz w:val="16"/>
          <w:szCs w:val="16"/>
        </w:rPr>
      </w:pPr>
      <w:r w:rsidRPr="00144027">
        <w:rPr>
          <w:rFonts w:eastAsia="Times New Roman"/>
          <w:vanish/>
          <w:sz w:val="16"/>
          <w:szCs w:val="16"/>
        </w:rPr>
        <w:t>Top of Form</w:t>
      </w:r>
    </w:p>
    <w:p w14:paraId="7563879C" w14:textId="77777777" w:rsidR="00144027" w:rsidRPr="00144027" w:rsidRDefault="00144027" w:rsidP="00144027">
      <w:pPr>
        <w:pBdr>
          <w:top w:val="single" w:sz="6" w:space="1" w:color="auto"/>
        </w:pBdr>
        <w:spacing w:after="0" w:line="240" w:lineRule="auto"/>
        <w:jc w:val="center"/>
        <w:rPr>
          <w:rFonts w:eastAsia="Times New Roman"/>
          <w:vanish/>
          <w:sz w:val="16"/>
          <w:szCs w:val="16"/>
        </w:rPr>
      </w:pPr>
      <w:r w:rsidRPr="00144027">
        <w:rPr>
          <w:rFonts w:eastAsia="Times New Roman"/>
          <w:vanish/>
          <w:sz w:val="16"/>
          <w:szCs w:val="16"/>
        </w:rPr>
        <w:t>Bottom of Form</w:t>
      </w:r>
    </w:p>
    <w:sectPr w:rsidR="00144027" w:rsidRPr="00144027">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40D21" w14:textId="77777777" w:rsidR="00C5244B" w:rsidRDefault="00C5244B" w:rsidP="00144027">
      <w:pPr>
        <w:spacing w:after="0" w:line="240" w:lineRule="auto"/>
      </w:pPr>
      <w:r>
        <w:separator/>
      </w:r>
    </w:p>
  </w:endnote>
  <w:endnote w:type="continuationSeparator" w:id="0">
    <w:p w14:paraId="50EEA7B6" w14:textId="77777777" w:rsidR="00C5244B" w:rsidRDefault="00C5244B" w:rsidP="00144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71A23" w14:textId="77777777" w:rsidR="00144027" w:rsidRDefault="001440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976721"/>
      <w:docPartObj>
        <w:docPartGallery w:val="Page Numbers (Bottom of Page)"/>
        <w:docPartUnique/>
      </w:docPartObj>
    </w:sdtPr>
    <w:sdtEndPr>
      <w:rPr>
        <w:noProof/>
      </w:rPr>
    </w:sdtEndPr>
    <w:sdtContent>
      <w:p w14:paraId="612F43BC" w14:textId="405E6EA7" w:rsidR="00144027" w:rsidRDefault="001440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647B85" w14:textId="77777777" w:rsidR="00144027" w:rsidRDefault="001440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3BC66" w14:textId="77777777" w:rsidR="00144027" w:rsidRDefault="001440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79A0B" w14:textId="77777777" w:rsidR="00C5244B" w:rsidRDefault="00C5244B" w:rsidP="00144027">
      <w:pPr>
        <w:spacing w:after="0" w:line="240" w:lineRule="auto"/>
      </w:pPr>
      <w:r>
        <w:separator/>
      </w:r>
    </w:p>
  </w:footnote>
  <w:footnote w:type="continuationSeparator" w:id="0">
    <w:p w14:paraId="6BA1E6EE" w14:textId="77777777" w:rsidR="00C5244B" w:rsidRDefault="00C5244B" w:rsidP="001440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6918F" w14:textId="77777777" w:rsidR="00144027" w:rsidRDefault="001440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C1455" w14:textId="77777777" w:rsidR="00144027" w:rsidRDefault="001440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A3FF8" w14:textId="77777777" w:rsidR="00144027" w:rsidRDefault="001440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F85C5E"/>
    <w:multiLevelType w:val="multilevel"/>
    <w:tmpl w:val="9A6C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BA055E"/>
    <w:multiLevelType w:val="multilevel"/>
    <w:tmpl w:val="0DF85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27"/>
    <w:rsid w:val="00144027"/>
    <w:rsid w:val="007C328D"/>
    <w:rsid w:val="008138AF"/>
    <w:rsid w:val="00945A75"/>
    <w:rsid w:val="00C52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8444D"/>
  <w15:chartTrackingRefBased/>
  <w15:docId w15:val="{C5F53786-846E-4569-9406-1CD426378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4402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4402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402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44027"/>
    <w:rPr>
      <w:rFonts w:ascii="Times New Roman" w:eastAsia="Times New Roman" w:hAnsi="Times New Roman" w:cs="Times New Roman"/>
      <w:b/>
      <w:bCs/>
      <w:sz w:val="27"/>
      <w:szCs w:val="27"/>
    </w:rPr>
  </w:style>
  <w:style w:type="paragraph" w:customStyle="1" w:styleId="msonormal0">
    <w:name w:val="msonormal"/>
    <w:basedOn w:val="Normal"/>
    <w:rsid w:val="00144027"/>
    <w:pPr>
      <w:spacing w:before="100" w:beforeAutospacing="1" w:after="100" w:afterAutospacing="1" w:line="240" w:lineRule="auto"/>
    </w:pPr>
    <w:rPr>
      <w:rFonts w:ascii="Times New Roman" w:eastAsia="Times New Roman" w:hAnsi="Times New Roman" w:cs="Times New Roman"/>
    </w:rPr>
  </w:style>
  <w:style w:type="paragraph" w:styleId="NormalWeb">
    <w:name w:val="Normal (Web)"/>
    <w:basedOn w:val="Normal"/>
    <w:uiPriority w:val="99"/>
    <w:semiHidden/>
    <w:unhideWhenUsed/>
    <w:rsid w:val="00144027"/>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semiHidden/>
    <w:unhideWhenUsed/>
    <w:rsid w:val="00144027"/>
    <w:rPr>
      <w:color w:val="0000FF"/>
      <w:u w:val="single"/>
    </w:rPr>
  </w:style>
  <w:style w:type="character" w:styleId="FollowedHyperlink">
    <w:name w:val="FollowedHyperlink"/>
    <w:basedOn w:val="DefaultParagraphFont"/>
    <w:uiPriority w:val="99"/>
    <w:semiHidden/>
    <w:unhideWhenUsed/>
    <w:rsid w:val="00144027"/>
    <w:rPr>
      <w:color w:val="800080"/>
      <w:u w:val="single"/>
    </w:rPr>
  </w:style>
  <w:style w:type="paragraph" w:styleId="z-TopofForm">
    <w:name w:val="HTML Top of Form"/>
    <w:basedOn w:val="Normal"/>
    <w:next w:val="Normal"/>
    <w:link w:val="z-TopofFormChar"/>
    <w:hidden/>
    <w:uiPriority w:val="99"/>
    <w:semiHidden/>
    <w:unhideWhenUsed/>
    <w:rsid w:val="00144027"/>
    <w:pPr>
      <w:pBdr>
        <w:bottom w:val="single" w:sz="6" w:space="1" w:color="auto"/>
      </w:pBdr>
      <w:spacing w:after="0" w:line="240" w:lineRule="auto"/>
      <w:jc w:val="center"/>
    </w:pPr>
    <w:rPr>
      <w:rFonts w:eastAsia="Times New Roman"/>
      <w:vanish/>
      <w:sz w:val="16"/>
      <w:szCs w:val="16"/>
    </w:rPr>
  </w:style>
  <w:style w:type="character" w:customStyle="1" w:styleId="z-TopofFormChar">
    <w:name w:val="z-Top of Form Char"/>
    <w:basedOn w:val="DefaultParagraphFont"/>
    <w:link w:val="z-TopofForm"/>
    <w:uiPriority w:val="99"/>
    <w:semiHidden/>
    <w:rsid w:val="00144027"/>
    <w:rPr>
      <w:rFonts w:eastAsia="Times New Roman"/>
      <w:vanish/>
      <w:sz w:val="16"/>
      <w:szCs w:val="16"/>
    </w:rPr>
  </w:style>
  <w:style w:type="paragraph" w:styleId="z-BottomofForm">
    <w:name w:val="HTML Bottom of Form"/>
    <w:basedOn w:val="Normal"/>
    <w:next w:val="Normal"/>
    <w:link w:val="z-BottomofFormChar"/>
    <w:hidden/>
    <w:uiPriority w:val="99"/>
    <w:semiHidden/>
    <w:unhideWhenUsed/>
    <w:rsid w:val="00144027"/>
    <w:pPr>
      <w:pBdr>
        <w:top w:val="single" w:sz="6" w:space="1" w:color="auto"/>
      </w:pBdr>
      <w:spacing w:after="0" w:line="240" w:lineRule="auto"/>
      <w:jc w:val="center"/>
    </w:pPr>
    <w:rPr>
      <w:rFonts w:eastAsia="Times New Roman"/>
      <w:vanish/>
      <w:sz w:val="16"/>
      <w:szCs w:val="16"/>
    </w:rPr>
  </w:style>
  <w:style w:type="character" w:customStyle="1" w:styleId="z-BottomofFormChar">
    <w:name w:val="z-Bottom of Form Char"/>
    <w:basedOn w:val="DefaultParagraphFont"/>
    <w:link w:val="z-BottomofForm"/>
    <w:uiPriority w:val="99"/>
    <w:semiHidden/>
    <w:rsid w:val="00144027"/>
    <w:rPr>
      <w:rFonts w:eastAsia="Times New Roman"/>
      <w:vanish/>
      <w:sz w:val="16"/>
      <w:szCs w:val="16"/>
    </w:rPr>
  </w:style>
  <w:style w:type="paragraph" w:styleId="Header">
    <w:name w:val="header"/>
    <w:basedOn w:val="Normal"/>
    <w:link w:val="HeaderChar"/>
    <w:uiPriority w:val="99"/>
    <w:unhideWhenUsed/>
    <w:rsid w:val="001440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027"/>
  </w:style>
  <w:style w:type="paragraph" w:styleId="Footer">
    <w:name w:val="footer"/>
    <w:basedOn w:val="Normal"/>
    <w:link w:val="FooterChar"/>
    <w:uiPriority w:val="99"/>
    <w:unhideWhenUsed/>
    <w:rsid w:val="001440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523386">
      <w:bodyDiv w:val="1"/>
      <w:marLeft w:val="0"/>
      <w:marRight w:val="0"/>
      <w:marTop w:val="0"/>
      <w:marBottom w:val="0"/>
      <w:divBdr>
        <w:top w:val="none" w:sz="0" w:space="0" w:color="auto"/>
        <w:left w:val="none" w:sz="0" w:space="0" w:color="auto"/>
        <w:bottom w:val="none" w:sz="0" w:space="0" w:color="auto"/>
        <w:right w:val="none" w:sz="0" w:space="0" w:color="auto"/>
      </w:divBdr>
      <w:divsChild>
        <w:div w:id="1164319899">
          <w:marLeft w:val="0"/>
          <w:marRight w:val="0"/>
          <w:marTop w:val="0"/>
          <w:marBottom w:val="0"/>
          <w:divBdr>
            <w:top w:val="none" w:sz="0" w:space="0" w:color="auto"/>
            <w:left w:val="none" w:sz="0" w:space="0" w:color="auto"/>
            <w:bottom w:val="none" w:sz="0" w:space="0" w:color="auto"/>
            <w:right w:val="none" w:sz="0" w:space="0" w:color="auto"/>
          </w:divBdr>
          <w:divsChild>
            <w:div w:id="1398361896">
              <w:marLeft w:val="0"/>
              <w:marRight w:val="0"/>
              <w:marTop w:val="0"/>
              <w:marBottom w:val="0"/>
              <w:divBdr>
                <w:top w:val="none" w:sz="0" w:space="0" w:color="auto"/>
                <w:left w:val="none" w:sz="0" w:space="0" w:color="auto"/>
                <w:bottom w:val="none" w:sz="0" w:space="0" w:color="auto"/>
                <w:right w:val="none" w:sz="0" w:space="0" w:color="auto"/>
              </w:divBdr>
              <w:divsChild>
                <w:div w:id="646519895">
                  <w:marLeft w:val="0"/>
                  <w:marRight w:val="0"/>
                  <w:marTop w:val="0"/>
                  <w:marBottom w:val="0"/>
                  <w:divBdr>
                    <w:top w:val="none" w:sz="0" w:space="0" w:color="auto"/>
                    <w:left w:val="none" w:sz="0" w:space="0" w:color="auto"/>
                    <w:bottom w:val="none" w:sz="0" w:space="0" w:color="auto"/>
                    <w:right w:val="none" w:sz="0" w:space="0" w:color="auto"/>
                  </w:divBdr>
                  <w:divsChild>
                    <w:div w:id="654800625">
                      <w:marLeft w:val="0"/>
                      <w:marRight w:val="0"/>
                      <w:marTop w:val="0"/>
                      <w:marBottom w:val="0"/>
                      <w:divBdr>
                        <w:top w:val="none" w:sz="0" w:space="0" w:color="auto"/>
                        <w:left w:val="none" w:sz="0" w:space="0" w:color="auto"/>
                        <w:bottom w:val="none" w:sz="0" w:space="0" w:color="auto"/>
                        <w:right w:val="none" w:sz="0" w:space="0" w:color="auto"/>
                      </w:divBdr>
                      <w:divsChild>
                        <w:div w:id="137037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195599">
          <w:marLeft w:val="0"/>
          <w:marRight w:val="0"/>
          <w:marTop w:val="0"/>
          <w:marBottom w:val="0"/>
          <w:divBdr>
            <w:top w:val="none" w:sz="0" w:space="0" w:color="auto"/>
            <w:left w:val="none" w:sz="0" w:space="0" w:color="auto"/>
            <w:bottom w:val="none" w:sz="0" w:space="0" w:color="auto"/>
            <w:right w:val="none" w:sz="0" w:space="0" w:color="auto"/>
          </w:divBdr>
          <w:divsChild>
            <w:div w:id="919290176">
              <w:marLeft w:val="0"/>
              <w:marRight w:val="0"/>
              <w:marTop w:val="0"/>
              <w:marBottom w:val="0"/>
              <w:divBdr>
                <w:top w:val="none" w:sz="0" w:space="0" w:color="auto"/>
                <w:left w:val="none" w:sz="0" w:space="0" w:color="auto"/>
                <w:bottom w:val="none" w:sz="0" w:space="0" w:color="auto"/>
                <w:right w:val="none" w:sz="0" w:space="0" w:color="auto"/>
              </w:divBdr>
              <w:divsChild>
                <w:div w:id="603924397">
                  <w:marLeft w:val="0"/>
                  <w:marRight w:val="0"/>
                  <w:marTop w:val="0"/>
                  <w:marBottom w:val="0"/>
                  <w:divBdr>
                    <w:top w:val="none" w:sz="0" w:space="0" w:color="auto"/>
                    <w:left w:val="none" w:sz="0" w:space="0" w:color="auto"/>
                    <w:bottom w:val="none" w:sz="0" w:space="0" w:color="auto"/>
                    <w:right w:val="none" w:sz="0" w:space="0" w:color="auto"/>
                  </w:divBdr>
                  <w:divsChild>
                    <w:div w:id="1982810842">
                      <w:marLeft w:val="0"/>
                      <w:marRight w:val="0"/>
                      <w:marTop w:val="0"/>
                      <w:marBottom w:val="0"/>
                      <w:divBdr>
                        <w:top w:val="none" w:sz="0" w:space="0" w:color="auto"/>
                        <w:left w:val="none" w:sz="0" w:space="0" w:color="auto"/>
                        <w:bottom w:val="none" w:sz="0" w:space="0" w:color="auto"/>
                        <w:right w:val="none" w:sz="0" w:space="0" w:color="auto"/>
                      </w:divBdr>
                      <w:divsChild>
                        <w:div w:id="30134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498958">
          <w:marLeft w:val="0"/>
          <w:marRight w:val="0"/>
          <w:marTop w:val="0"/>
          <w:marBottom w:val="0"/>
          <w:divBdr>
            <w:top w:val="none" w:sz="0" w:space="0" w:color="auto"/>
            <w:left w:val="none" w:sz="0" w:space="0" w:color="auto"/>
            <w:bottom w:val="none" w:sz="0" w:space="0" w:color="auto"/>
            <w:right w:val="none" w:sz="0" w:space="0" w:color="auto"/>
          </w:divBdr>
          <w:divsChild>
            <w:div w:id="749816246">
              <w:marLeft w:val="0"/>
              <w:marRight w:val="0"/>
              <w:marTop w:val="0"/>
              <w:marBottom w:val="0"/>
              <w:divBdr>
                <w:top w:val="none" w:sz="0" w:space="0" w:color="auto"/>
                <w:left w:val="none" w:sz="0" w:space="0" w:color="auto"/>
                <w:bottom w:val="none" w:sz="0" w:space="0" w:color="auto"/>
                <w:right w:val="none" w:sz="0" w:space="0" w:color="auto"/>
              </w:divBdr>
              <w:divsChild>
                <w:div w:id="1074397555">
                  <w:marLeft w:val="0"/>
                  <w:marRight w:val="0"/>
                  <w:marTop w:val="0"/>
                  <w:marBottom w:val="0"/>
                  <w:divBdr>
                    <w:top w:val="none" w:sz="0" w:space="0" w:color="auto"/>
                    <w:left w:val="none" w:sz="0" w:space="0" w:color="auto"/>
                    <w:bottom w:val="none" w:sz="0" w:space="0" w:color="auto"/>
                    <w:right w:val="none" w:sz="0" w:space="0" w:color="auto"/>
                  </w:divBdr>
                  <w:divsChild>
                    <w:div w:id="1546794433">
                      <w:marLeft w:val="0"/>
                      <w:marRight w:val="0"/>
                      <w:marTop w:val="0"/>
                      <w:marBottom w:val="0"/>
                      <w:divBdr>
                        <w:top w:val="none" w:sz="0" w:space="0" w:color="auto"/>
                        <w:left w:val="none" w:sz="0" w:space="0" w:color="auto"/>
                        <w:bottom w:val="none" w:sz="0" w:space="0" w:color="auto"/>
                        <w:right w:val="none" w:sz="0" w:space="0" w:color="auto"/>
                      </w:divBdr>
                      <w:divsChild>
                        <w:div w:id="1439716207">
                          <w:marLeft w:val="0"/>
                          <w:marRight w:val="0"/>
                          <w:marTop w:val="0"/>
                          <w:marBottom w:val="0"/>
                          <w:divBdr>
                            <w:top w:val="none" w:sz="0" w:space="0" w:color="auto"/>
                            <w:left w:val="none" w:sz="0" w:space="0" w:color="auto"/>
                            <w:bottom w:val="none" w:sz="0" w:space="0" w:color="auto"/>
                            <w:right w:val="none" w:sz="0" w:space="0" w:color="auto"/>
                          </w:divBdr>
                          <w:divsChild>
                            <w:div w:id="77216824">
                              <w:marLeft w:val="0"/>
                              <w:marRight w:val="0"/>
                              <w:marTop w:val="0"/>
                              <w:marBottom w:val="0"/>
                              <w:divBdr>
                                <w:top w:val="none" w:sz="0" w:space="0" w:color="auto"/>
                                <w:left w:val="none" w:sz="0" w:space="0" w:color="auto"/>
                                <w:bottom w:val="none" w:sz="0" w:space="0" w:color="auto"/>
                                <w:right w:val="none" w:sz="0" w:space="0" w:color="auto"/>
                              </w:divBdr>
                              <w:divsChild>
                                <w:div w:id="1599556253">
                                  <w:marLeft w:val="0"/>
                                  <w:marRight w:val="0"/>
                                  <w:marTop w:val="0"/>
                                  <w:marBottom w:val="0"/>
                                  <w:divBdr>
                                    <w:top w:val="none" w:sz="0" w:space="0" w:color="auto"/>
                                    <w:left w:val="none" w:sz="0" w:space="0" w:color="auto"/>
                                    <w:bottom w:val="none" w:sz="0" w:space="0" w:color="auto"/>
                                    <w:right w:val="none" w:sz="0" w:space="0" w:color="auto"/>
                                  </w:divBdr>
                                  <w:divsChild>
                                    <w:div w:id="77570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6314876">
          <w:marLeft w:val="0"/>
          <w:marRight w:val="0"/>
          <w:marTop w:val="0"/>
          <w:marBottom w:val="0"/>
          <w:divBdr>
            <w:top w:val="none" w:sz="0" w:space="0" w:color="auto"/>
            <w:left w:val="none" w:sz="0" w:space="0" w:color="auto"/>
            <w:bottom w:val="none" w:sz="0" w:space="0" w:color="auto"/>
            <w:right w:val="none" w:sz="0" w:space="0" w:color="auto"/>
          </w:divBdr>
          <w:divsChild>
            <w:div w:id="1939755716">
              <w:marLeft w:val="0"/>
              <w:marRight w:val="0"/>
              <w:marTop w:val="0"/>
              <w:marBottom w:val="0"/>
              <w:divBdr>
                <w:top w:val="none" w:sz="0" w:space="0" w:color="auto"/>
                <w:left w:val="none" w:sz="0" w:space="0" w:color="auto"/>
                <w:bottom w:val="none" w:sz="0" w:space="0" w:color="auto"/>
                <w:right w:val="none" w:sz="0" w:space="0" w:color="auto"/>
              </w:divBdr>
              <w:divsChild>
                <w:div w:id="1296518919">
                  <w:marLeft w:val="0"/>
                  <w:marRight w:val="0"/>
                  <w:marTop w:val="0"/>
                  <w:marBottom w:val="0"/>
                  <w:divBdr>
                    <w:top w:val="none" w:sz="0" w:space="0" w:color="auto"/>
                    <w:left w:val="none" w:sz="0" w:space="0" w:color="auto"/>
                    <w:bottom w:val="none" w:sz="0" w:space="0" w:color="auto"/>
                    <w:right w:val="none" w:sz="0" w:space="0" w:color="auto"/>
                  </w:divBdr>
                </w:div>
                <w:div w:id="294721914">
                  <w:marLeft w:val="0"/>
                  <w:marRight w:val="0"/>
                  <w:marTop w:val="0"/>
                  <w:marBottom w:val="0"/>
                  <w:divBdr>
                    <w:top w:val="none" w:sz="0" w:space="0" w:color="auto"/>
                    <w:left w:val="none" w:sz="0" w:space="0" w:color="auto"/>
                    <w:bottom w:val="none" w:sz="0" w:space="0" w:color="auto"/>
                    <w:right w:val="none" w:sz="0" w:space="0" w:color="auto"/>
                  </w:divBdr>
                  <w:divsChild>
                    <w:div w:id="93402271">
                      <w:marLeft w:val="0"/>
                      <w:marRight w:val="0"/>
                      <w:marTop w:val="0"/>
                      <w:marBottom w:val="0"/>
                      <w:divBdr>
                        <w:top w:val="none" w:sz="0" w:space="0" w:color="auto"/>
                        <w:left w:val="none" w:sz="0" w:space="0" w:color="auto"/>
                        <w:bottom w:val="none" w:sz="0" w:space="0" w:color="auto"/>
                        <w:right w:val="none" w:sz="0" w:space="0" w:color="auto"/>
                      </w:divBdr>
                    </w:div>
                    <w:div w:id="152155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5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elaw.findlaw.com/us-supreme-court/401/424.html" TargetMode="External"/><Relationship Id="rId13" Type="http://schemas.openxmlformats.org/officeDocument/2006/relationships/hyperlink" Target="https://caselaw.findlaw.com/us-supreme-court/323/134.html" TargetMode="External"/><Relationship Id="rId18" Type="http://schemas.openxmlformats.org/officeDocument/2006/relationships/hyperlink" Target="https://caselaw.findlaw.com/us-supreme-court/429/125.html" TargetMode="External"/><Relationship Id="rId26" Type="http://schemas.openxmlformats.org/officeDocument/2006/relationships/hyperlink" Target="https://caselaw.findlaw.com/us-supreme-court/422/405.html" TargetMode="External"/><Relationship Id="rId3" Type="http://schemas.openxmlformats.org/officeDocument/2006/relationships/settings" Target="settings.xml"/><Relationship Id="rId21" Type="http://schemas.openxmlformats.org/officeDocument/2006/relationships/hyperlink" Target="https://caselaw.findlaw.com/us-supreme-court/429/125.html" TargetMode="External"/><Relationship Id="rId34" Type="http://schemas.openxmlformats.org/officeDocument/2006/relationships/footer" Target="footer3.xml"/><Relationship Id="rId7" Type="http://schemas.openxmlformats.org/officeDocument/2006/relationships/hyperlink" Target="https://caselaw.findlaw.com/us-supreme-court/429/125.html" TargetMode="External"/><Relationship Id="rId12" Type="http://schemas.openxmlformats.org/officeDocument/2006/relationships/hyperlink" Target="https://caselaw.findlaw.com/us-supreme-court/422/405.html" TargetMode="External"/><Relationship Id="rId17" Type="http://schemas.openxmlformats.org/officeDocument/2006/relationships/hyperlink" Target="https://caselaw.findlaw.com/us-supreme-court/417/484.html" TargetMode="External"/><Relationship Id="rId25" Type="http://schemas.openxmlformats.org/officeDocument/2006/relationships/hyperlink" Target="https://caselaw.findlaw.com/us-supreme-court/395/100.html"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caselaw.findlaw.com/us-supreme-court/429/125.html" TargetMode="External"/><Relationship Id="rId20" Type="http://schemas.openxmlformats.org/officeDocument/2006/relationships/hyperlink" Target="https://caselaw.findlaw.com/us-supreme-court/429/125.html"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selaw.findlaw.com/us-supreme-court/429/125.html" TargetMode="External"/><Relationship Id="rId24" Type="http://schemas.openxmlformats.org/officeDocument/2006/relationships/hyperlink" Target="https://caselaw.findlaw.com/us-supreme-court/422/405.html"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caselaw.findlaw.com/us-supreme-court/429/125.html" TargetMode="External"/><Relationship Id="rId23" Type="http://schemas.openxmlformats.org/officeDocument/2006/relationships/hyperlink" Target="https://caselaw.findlaw.com/us-supreme-court/422/405.html" TargetMode="External"/><Relationship Id="rId28" Type="http://schemas.openxmlformats.org/officeDocument/2006/relationships/hyperlink" Target="https://caselaw.findlaw.com/us-supreme-court/422/405.html" TargetMode="External"/><Relationship Id="rId36" Type="http://schemas.openxmlformats.org/officeDocument/2006/relationships/theme" Target="theme/theme1.xml"/><Relationship Id="rId10" Type="http://schemas.openxmlformats.org/officeDocument/2006/relationships/hyperlink" Target="https://caselaw.findlaw.com/us-supreme-court/417/484.html" TargetMode="External"/><Relationship Id="rId19" Type="http://schemas.openxmlformats.org/officeDocument/2006/relationships/hyperlink" Target="https://caselaw.findlaw.com/us-supreme-court/429/125.html"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aselaw.findlaw.com/us-supreme-court/429/125.html" TargetMode="External"/><Relationship Id="rId14" Type="http://schemas.openxmlformats.org/officeDocument/2006/relationships/hyperlink" Target="https://caselaw.findlaw.com/us-supreme-court/417/484.html" TargetMode="External"/><Relationship Id="rId22" Type="http://schemas.openxmlformats.org/officeDocument/2006/relationships/hyperlink" Target="https://caselaw.findlaw.com/us-supreme-court/434/136.html" TargetMode="External"/><Relationship Id="rId27" Type="http://schemas.openxmlformats.org/officeDocument/2006/relationships/hyperlink" Target="https://caselaw.findlaw.com/us-supreme-court/422/405.html"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7639</Words>
  <Characters>43543</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dc:creator>
  <cp:keywords/>
  <dc:description/>
  <cp:lastModifiedBy>alan</cp:lastModifiedBy>
  <cp:revision>2</cp:revision>
  <dcterms:created xsi:type="dcterms:W3CDTF">2022-03-14T20:24:00Z</dcterms:created>
  <dcterms:modified xsi:type="dcterms:W3CDTF">2022-03-14T20:24:00Z</dcterms:modified>
</cp:coreProperties>
</file>