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83FF" w14:textId="77777777" w:rsidR="00E6404C" w:rsidRPr="00E6404C" w:rsidRDefault="00E6404C" w:rsidP="00E6404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6404C">
        <w:rPr>
          <w:rFonts w:ascii="Times New Roman" w:eastAsia="Times New Roman" w:hAnsi="Times New Roman" w:cs="Times New Roman"/>
          <w:b/>
          <w:bCs/>
          <w:sz w:val="36"/>
          <w:szCs w:val="36"/>
        </w:rPr>
        <w:t>United States Supreme Court</w:t>
      </w:r>
    </w:p>
    <w:p w14:paraId="51637473" w14:textId="77777777" w:rsidR="00E6404C" w:rsidRPr="00E6404C" w:rsidRDefault="00E6404C" w:rsidP="00E6404C">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SWANN v. BOARD OF </w:t>
      </w:r>
      <w:proofErr w:type="gramStart"/>
      <w:r w:rsidRPr="00E6404C">
        <w:rPr>
          <w:rFonts w:ascii="Times New Roman" w:eastAsia="Times New Roman" w:hAnsi="Times New Roman" w:cs="Times New Roman"/>
          <w:b/>
          <w:bCs/>
          <w:sz w:val="27"/>
          <w:szCs w:val="27"/>
        </w:rPr>
        <w:t>EDUCATION(</w:t>
      </w:r>
      <w:proofErr w:type="gramEnd"/>
      <w:r w:rsidRPr="00E6404C">
        <w:rPr>
          <w:rFonts w:ascii="Times New Roman" w:eastAsia="Times New Roman" w:hAnsi="Times New Roman" w:cs="Times New Roman"/>
          <w:b/>
          <w:bCs/>
          <w:sz w:val="27"/>
          <w:szCs w:val="27"/>
        </w:rPr>
        <w:t>1971)</w:t>
      </w:r>
    </w:p>
    <w:p w14:paraId="6F773D0F"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No. 281</w:t>
      </w:r>
    </w:p>
    <w:p w14:paraId="4C6E6E1F"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Argued: October 12, </w:t>
      </w:r>
      <w:proofErr w:type="spellStart"/>
      <w:r w:rsidRPr="00E6404C">
        <w:rPr>
          <w:rFonts w:ascii="Times New Roman" w:eastAsia="Times New Roman" w:hAnsi="Times New Roman" w:cs="Times New Roman"/>
          <w:b/>
          <w:bCs/>
          <w:sz w:val="27"/>
          <w:szCs w:val="27"/>
        </w:rPr>
        <w:t>1970Decided</w:t>
      </w:r>
      <w:proofErr w:type="spellEnd"/>
      <w:r w:rsidRPr="00E6404C">
        <w:rPr>
          <w:rFonts w:ascii="Times New Roman" w:eastAsia="Times New Roman" w:hAnsi="Times New Roman" w:cs="Times New Roman"/>
          <w:b/>
          <w:bCs/>
          <w:sz w:val="27"/>
          <w:szCs w:val="27"/>
        </w:rPr>
        <w:t>: April 20, 1971</w:t>
      </w:r>
    </w:p>
    <w:p w14:paraId="42F8DF9C" w14:textId="77ABE4EB"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 </w:t>
      </w:r>
    </w:p>
    <w:p w14:paraId="60A73771"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MR. CHIEF JUSTICE BURGER delivered the opinion of the Court. </w:t>
      </w:r>
    </w:p>
    <w:p w14:paraId="0A06C6B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We granted certiorari in this case to review important issues as to the duties of school authorities and the scope of powers of federal courts under this Court's mandates to eliminate racially separate public schools established and maintained by state action. Brown v. Board of Education, 347 U.S. 483 (1954) (Brown I). </w:t>
      </w:r>
    </w:p>
    <w:p w14:paraId="41030E96"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This case and those argued with it </w:t>
      </w:r>
      <w:bookmarkStart w:id="0" w:name="t1"/>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"f1"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1 </w:t>
      </w:r>
      <w:r w:rsidRPr="00E6404C">
        <w:rPr>
          <w:rFonts w:ascii="Times New Roman" w:eastAsia="Times New Roman" w:hAnsi="Times New Roman" w:cs="Times New Roman"/>
          <w:szCs w:val="24"/>
        </w:rPr>
        <w:fldChar w:fldCharType="end"/>
      </w:r>
      <w:bookmarkEnd w:id="0"/>
      <w:r w:rsidRPr="00E6404C">
        <w:rPr>
          <w:rFonts w:ascii="Times New Roman" w:eastAsia="Times New Roman" w:hAnsi="Times New Roman" w:cs="Times New Roman"/>
          <w:szCs w:val="24"/>
        </w:rPr>
        <w:t xml:space="preserve">arose in States having a long history of maintaining two sets of schools in a </w:t>
      </w:r>
      <w:r w:rsidRPr="00E6404C">
        <w:rPr>
          <w:rFonts w:ascii="Times New Roman" w:eastAsia="Times New Roman" w:hAnsi="Times New Roman" w:cs="Times New Roman"/>
          <w:color w:val="005500"/>
          <w:sz w:val="20"/>
          <w:szCs w:val="20"/>
        </w:rPr>
        <w:t xml:space="preserve">[402 U.S. 1, 6]   </w:t>
      </w:r>
      <w:r w:rsidRPr="00E6404C">
        <w:rPr>
          <w:rFonts w:ascii="Times New Roman" w:eastAsia="Times New Roman" w:hAnsi="Times New Roman" w:cs="Times New Roman"/>
          <w:szCs w:val="24"/>
        </w:rPr>
        <w:t xml:space="preserve">single school system deliberately operated to carry out a governmental policy to separate pupils in schools solely on the basis of race. That was what Brown v. Board of Education was all about. These cases present us with the problem of defining in more precise terms than heretofore the scope of the duty of school authorities and district courts in implementing Brown I and the mandate to eliminate dual systems and establish unitary systems at once. Meanwhile district courts and courts of appeals have struggled in hundreds of cases with a multitude and variety of problems under this Court's general directive. Understandably, in an area of evolving remedies, those courts had to improvise and experiment without detailed or specific guidelines. This Court, in Brown I, appropriately dealt with the large constitutional principles; other federal courts had to grapple with the flinty, intractable realities of day-to-day implementation of those constitutional commands. Their efforts, of necessity, embraced a process of "trial and error," and our effort to formulate guidelines must </w:t>
      </w:r>
      <w:proofErr w:type="gramStart"/>
      <w:r w:rsidRPr="00E6404C">
        <w:rPr>
          <w:rFonts w:ascii="Times New Roman" w:eastAsia="Times New Roman" w:hAnsi="Times New Roman" w:cs="Times New Roman"/>
          <w:szCs w:val="24"/>
        </w:rPr>
        <w:t>take into account</w:t>
      </w:r>
      <w:proofErr w:type="gramEnd"/>
      <w:r w:rsidRPr="00E6404C">
        <w:rPr>
          <w:rFonts w:ascii="Times New Roman" w:eastAsia="Times New Roman" w:hAnsi="Times New Roman" w:cs="Times New Roman"/>
          <w:szCs w:val="24"/>
        </w:rPr>
        <w:t xml:space="preserve"> their experience. </w:t>
      </w:r>
    </w:p>
    <w:p w14:paraId="2D5366BC"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I </w:t>
      </w:r>
    </w:p>
    <w:p w14:paraId="739916C1"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Charlotte-Mecklenburg school system, the </w:t>
      </w:r>
      <w:proofErr w:type="spellStart"/>
      <w:r w:rsidRPr="00E6404C">
        <w:rPr>
          <w:rFonts w:ascii="Times New Roman" w:eastAsia="Times New Roman" w:hAnsi="Times New Roman" w:cs="Times New Roman"/>
          <w:szCs w:val="24"/>
        </w:rPr>
        <w:t>43d</w:t>
      </w:r>
      <w:proofErr w:type="spellEnd"/>
      <w:r w:rsidRPr="00E6404C">
        <w:rPr>
          <w:rFonts w:ascii="Times New Roman" w:eastAsia="Times New Roman" w:hAnsi="Times New Roman" w:cs="Times New Roman"/>
          <w:szCs w:val="24"/>
        </w:rPr>
        <w:t xml:space="preserve"> largest in the Nation, encompasses the city of Charlotte and surrounding Mecklenburg County, North Carolina. The area is large - 550 square miles - spanning roughly 22 miles east-west and 36 miles north-south. During the 1968-1969 school year the system served more than 84,000 pupils in 107 schools. Approximately 71% of the pupils were found to be white and 29% Negro. As of </w:t>
      </w:r>
      <w:bookmarkStart w:id="1" w:name="7"/>
      <w:r w:rsidRPr="00E6404C">
        <w:rPr>
          <w:rFonts w:ascii="Times New Roman" w:eastAsia="Times New Roman" w:hAnsi="Times New Roman" w:cs="Times New Roman"/>
          <w:color w:val="005500"/>
          <w:sz w:val="20"/>
          <w:szCs w:val="20"/>
        </w:rPr>
        <w:t xml:space="preserve">[402 U.S. 1, 7] </w:t>
      </w:r>
      <w:bookmarkEnd w:id="1"/>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June 1969 there were approximately 24,000 Negro students in the system, of whom 21,000 attended schools within the city of Charlotte. Two-thirds of those 21,000 - approximately 14,000 Negro students - attended 21 schools which were either totally Negro or more than 99% Negro. </w:t>
      </w:r>
    </w:p>
    <w:p w14:paraId="530AEFDC"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This situation came about under a desegregation plan approved by the District Court at the commencement of the present litigation in 1965, 243 F. Supp. 667 (</w:t>
      </w:r>
      <w:proofErr w:type="spellStart"/>
      <w:r w:rsidRPr="00E6404C">
        <w:rPr>
          <w:rFonts w:ascii="Times New Roman" w:eastAsia="Times New Roman" w:hAnsi="Times New Roman" w:cs="Times New Roman"/>
          <w:szCs w:val="24"/>
        </w:rPr>
        <w:t>WDNC</w:t>
      </w:r>
      <w:proofErr w:type="spellEnd"/>
      <w:r w:rsidRPr="00E6404C">
        <w:rPr>
          <w:rFonts w:ascii="Times New Roman" w:eastAsia="Times New Roman" w:hAnsi="Times New Roman" w:cs="Times New Roman"/>
          <w:szCs w:val="24"/>
        </w:rPr>
        <w:t xml:space="preserve">), aff'd, 369 </w:t>
      </w:r>
      <w:proofErr w:type="spellStart"/>
      <w:r w:rsidRPr="00E6404C">
        <w:rPr>
          <w:rFonts w:ascii="Times New Roman" w:eastAsia="Times New Roman" w:hAnsi="Times New Roman" w:cs="Times New Roman"/>
          <w:szCs w:val="24"/>
        </w:rPr>
        <w:t>F.2d</w:t>
      </w:r>
      <w:proofErr w:type="spellEnd"/>
      <w:r w:rsidRPr="00E6404C">
        <w:rPr>
          <w:rFonts w:ascii="Times New Roman" w:eastAsia="Times New Roman" w:hAnsi="Times New Roman" w:cs="Times New Roman"/>
          <w:szCs w:val="24"/>
        </w:rPr>
        <w:t xml:space="preserve"> 29 </w:t>
      </w:r>
      <w:r w:rsidRPr="00E6404C">
        <w:rPr>
          <w:rFonts w:ascii="Times New Roman" w:eastAsia="Times New Roman" w:hAnsi="Times New Roman" w:cs="Times New Roman"/>
          <w:szCs w:val="24"/>
        </w:rPr>
        <w:lastRenderedPageBreak/>
        <w:t>(</w:t>
      </w:r>
      <w:proofErr w:type="spellStart"/>
      <w:r w:rsidRPr="00E6404C">
        <w:rPr>
          <w:rFonts w:ascii="Times New Roman" w:eastAsia="Times New Roman" w:hAnsi="Times New Roman" w:cs="Times New Roman"/>
          <w:szCs w:val="24"/>
        </w:rPr>
        <w:t>CA4</w:t>
      </w:r>
      <w:proofErr w:type="spellEnd"/>
      <w:r w:rsidRPr="00E6404C">
        <w:rPr>
          <w:rFonts w:ascii="Times New Roman" w:eastAsia="Times New Roman" w:hAnsi="Times New Roman" w:cs="Times New Roman"/>
          <w:szCs w:val="24"/>
        </w:rPr>
        <w:t xml:space="preserve"> 1966), based upon geographic zoning with a free-transfer provision. The present proceedings were initiated in September 1968 by petitioner Swann's motion for further relief based on </w:t>
      </w:r>
      <w:proofErr w:type="gramStart"/>
      <w:r w:rsidRPr="00E6404C">
        <w:rPr>
          <w:rFonts w:ascii="Times New Roman" w:eastAsia="Times New Roman" w:hAnsi="Times New Roman" w:cs="Times New Roman"/>
          <w:szCs w:val="24"/>
        </w:rPr>
        <w:t>Green</w:t>
      </w:r>
      <w:proofErr w:type="gramEnd"/>
      <w:r w:rsidRPr="00E6404C">
        <w:rPr>
          <w:rFonts w:ascii="Times New Roman" w:eastAsia="Times New Roman" w:hAnsi="Times New Roman" w:cs="Times New Roman"/>
          <w:szCs w:val="24"/>
        </w:rPr>
        <w:t xml:space="preserve"> v. County School Board, 391 U.S. 430 (1968), and its companion cases. </w:t>
      </w:r>
      <w:bookmarkStart w:id="2" w:name="t2"/>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"f2"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2 </w:t>
      </w:r>
      <w:r w:rsidRPr="00E6404C">
        <w:rPr>
          <w:rFonts w:ascii="Times New Roman" w:eastAsia="Times New Roman" w:hAnsi="Times New Roman" w:cs="Times New Roman"/>
          <w:szCs w:val="24"/>
        </w:rPr>
        <w:fldChar w:fldCharType="end"/>
      </w:r>
      <w:bookmarkEnd w:id="2"/>
      <w:r w:rsidRPr="00E6404C">
        <w:rPr>
          <w:rFonts w:ascii="Times New Roman" w:eastAsia="Times New Roman" w:hAnsi="Times New Roman" w:cs="Times New Roman"/>
          <w:szCs w:val="24"/>
        </w:rPr>
        <w:t xml:space="preserve">All parties now agree that in 1969 the system fell short of achieving the unitary school system that those cases require. </w:t>
      </w:r>
    </w:p>
    <w:p w14:paraId="65A0AD9A"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District Court held numerous hearings and received voluminous evidence. In addition to finding certain actions of the school board to be discriminatory, the court also found that residential patterns in the city and county resulted in part from federal, state, and local government action other than school board decisions. School board action based on these patterns, for example, by locating schools in Negro residential areas and fixing the size of the schools to accommodate the needs of immediate neighborhoods, resulted in segregated education. These findings were subsequently accepted by the Court of Appeals. </w:t>
      </w:r>
    </w:p>
    <w:p w14:paraId="6030CF40"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April 1969 the District Court ordered the school board to come forward with a plan for both faculty and student desegregation. Proposed plans were accepted by the court in June and August 1969 on an interim basis </w:t>
      </w:r>
      <w:bookmarkStart w:id="3" w:name="8"/>
      <w:r w:rsidRPr="00E6404C">
        <w:rPr>
          <w:rFonts w:ascii="Times New Roman" w:eastAsia="Times New Roman" w:hAnsi="Times New Roman" w:cs="Times New Roman"/>
          <w:color w:val="005500"/>
          <w:sz w:val="20"/>
          <w:szCs w:val="20"/>
        </w:rPr>
        <w:t xml:space="preserve">[402 U.S. 1, 8] </w:t>
      </w:r>
      <w:bookmarkEnd w:id="3"/>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only, and the board was ordered to file a third plan by November 1969. In November the board moved for an extension of time until February 1970, but when that was </w:t>
      </w:r>
      <w:proofErr w:type="gramStart"/>
      <w:r w:rsidRPr="00E6404C">
        <w:rPr>
          <w:rFonts w:ascii="Times New Roman" w:eastAsia="Times New Roman" w:hAnsi="Times New Roman" w:cs="Times New Roman"/>
          <w:szCs w:val="24"/>
        </w:rPr>
        <w:t>denied</w:t>
      </w:r>
      <w:proofErr w:type="gramEnd"/>
      <w:r w:rsidRPr="00E6404C">
        <w:rPr>
          <w:rFonts w:ascii="Times New Roman" w:eastAsia="Times New Roman" w:hAnsi="Times New Roman" w:cs="Times New Roman"/>
          <w:szCs w:val="24"/>
        </w:rPr>
        <w:t xml:space="preserve"> the board submitted a partially completed plan. In December 1969 the District Court held that the board's submission was unacceptable and appointed an expert in education administration, Dr. John Finger, to prepare a desegregation plan. Thereafter in February 1970, the District Court was presented with two alternative pupil assignment plans - the finalized "board plan" and the "Finger plan." </w:t>
      </w:r>
    </w:p>
    <w:p w14:paraId="4B8BB014"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Board Plan. As finally submitted, the school board plan closed seven schools and reassigned their pupils. It restructured school attendance zones to achieve greater racial balance but maintained existing grade structures and rejected techniques such as pairing and clustering as part of a desegregation effort. The plan created a single athletic league, eliminated the previously racial basis of the school bus system, provided racially mixed faculties and administrative staffs, and modified its free-transfer plan into an optional majority-to-minority transfer system. </w:t>
      </w:r>
    </w:p>
    <w:p w14:paraId="48EEC356"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board plan proposed substantial assignment of Negroes to nine of the system's 10 high schools, producing 17% to 36% Negro population in each. The projected Negro attendance at the 10th school, Independence, was 2%. The proposed attendance zones for the high schools were typically shaped like wedges of a pie, extending outward from the center of the city to the suburban and rural areas of the county </w:t>
      </w:r>
      <w:proofErr w:type="gramStart"/>
      <w:r w:rsidRPr="00E6404C">
        <w:rPr>
          <w:rFonts w:ascii="Times New Roman" w:eastAsia="Times New Roman" w:hAnsi="Times New Roman" w:cs="Times New Roman"/>
          <w:szCs w:val="24"/>
        </w:rPr>
        <w:t>in order to</w:t>
      </w:r>
      <w:proofErr w:type="gramEnd"/>
      <w:r w:rsidRPr="00E6404C">
        <w:rPr>
          <w:rFonts w:ascii="Times New Roman" w:eastAsia="Times New Roman" w:hAnsi="Times New Roman" w:cs="Times New Roman"/>
          <w:szCs w:val="24"/>
        </w:rPr>
        <w:t xml:space="preserve"> afford residents of the center city area access to outlying schools. </w:t>
      </w:r>
    </w:p>
    <w:p w14:paraId="0AC88C71"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As for junior high schools, the board plan rezoned the 21 school areas so that in 20 the Negro attendance would range from 0% to 38%. The other school, located in the heart of the Negro residential area, was left with an enrollment of 90% Negro. </w:t>
      </w:r>
      <w:bookmarkStart w:id="4" w:name="9"/>
      <w:r w:rsidRPr="00E6404C">
        <w:rPr>
          <w:rFonts w:ascii="Times New Roman" w:eastAsia="Times New Roman" w:hAnsi="Times New Roman" w:cs="Times New Roman"/>
          <w:color w:val="005500"/>
          <w:sz w:val="20"/>
          <w:szCs w:val="20"/>
        </w:rPr>
        <w:t xml:space="preserve">[402 U.S. 1, 9] </w:t>
      </w:r>
      <w:bookmarkEnd w:id="4"/>
      <w:r w:rsidRPr="00E6404C">
        <w:rPr>
          <w:rFonts w:ascii="Times New Roman" w:eastAsia="Times New Roman" w:hAnsi="Times New Roman" w:cs="Times New Roman"/>
          <w:color w:val="005500"/>
          <w:sz w:val="20"/>
          <w:szCs w:val="20"/>
        </w:rPr>
        <w:t xml:space="preserve">  </w:t>
      </w:r>
    </w:p>
    <w:p w14:paraId="4AC0887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board plan with respect to elementary schools relied entirely upon gerrymandering of geographic zones. More than half of the Negro elementary pupils were left in nine schools that were 86% to 100% Negro; approximately half of the white elementary pupils were assigned to schools 86% to 100% white. </w:t>
      </w:r>
    </w:p>
    <w:p w14:paraId="57412183"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lastRenderedPageBreak/>
        <w:t xml:space="preserve">The Finger Plan. The plan submitted by the court-appointed expert, Dr. Finger, adopted the school board zoning plan for senior high schools with one modification: it required that an additional 300 Negro students be transported from the Negro residential area of the city to the nearly all-white Independence High School. </w:t>
      </w:r>
    </w:p>
    <w:p w14:paraId="78AF9353"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Finger plan for the junior high schools employed much of the rezoning plan of the board, combined with the creation of nine "satellite" zones. </w:t>
      </w:r>
      <w:bookmarkStart w:id="5" w:name="t3"/>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"f3"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3 </w:t>
      </w:r>
      <w:r w:rsidRPr="00E6404C">
        <w:rPr>
          <w:rFonts w:ascii="Times New Roman" w:eastAsia="Times New Roman" w:hAnsi="Times New Roman" w:cs="Times New Roman"/>
          <w:szCs w:val="24"/>
        </w:rPr>
        <w:fldChar w:fldCharType="end"/>
      </w:r>
      <w:bookmarkEnd w:id="5"/>
      <w:r w:rsidRPr="00E6404C">
        <w:rPr>
          <w:rFonts w:ascii="Times New Roman" w:eastAsia="Times New Roman" w:hAnsi="Times New Roman" w:cs="Times New Roman"/>
          <w:szCs w:val="24"/>
        </w:rPr>
        <w:t xml:space="preserve">Under the satellite plan, inner-city Negro students were assigned by attendance zones to nine outlying predominately white junior high schools, thereby substantially desegregating every junior high school in the system. </w:t>
      </w:r>
    </w:p>
    <w:p w14:paraId="02B3D735"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Finger plan departed from the board plan chiefly in its handling of the system's 76 elementary schools. Rather than relying solely upon geographic zoning, Dr. Finger proposed use of zoning, pairing, and grouping techniques, with the result that student bodies throughout the system would range from 9% to 38% Negro. </w:t>
      </w:r>
      <w:bookmarkStart w:id="6" w:name="t4"/>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"f4"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4 </w:t>
      </w:r>
      <w:r w:rsidRPr="00E6404C">
        <w:rPr>
          <w:rFonts w:ascii="Times New Roman" w:eastAsia="Times New Roman" w:hAnsi="Times New Roman" w:cs="Times New Roman"/>
          <w:szCs w:val="24"/>
        </w:rPr>
        <w:fldChar w:fldCharType="end"/>
      </w:r>
      <w:bookmarkEnd w:id="6"/>
      <w:r w:rsidRPr="00E6404C">
        <w:rPr>
          <w:rFonts w:ascii="Times New Roman" w:eastAsia="Times New Roman" w:hAnsi="Times New Roman" w:cs="Times New Roman"/>
          <w:szCs w:val="24"/>
        </w:rPr>
        <w:t xml:space="preserve">  </w:t>
      </w:r>
    </w:p>
    <w:p w14:paraId="4853D010"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District Court described the plan thus: </w:t>
      </w:r>
    </w:p>
    <w:p w14:paraId="5261DE6A"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"Like the board plan, the Finger plan does as much by rezoning school attendance lines as can reasonably </w:t>
      </w:r>
      <w:r w:rsidRPr="00E6404C">
        <w:rPr>
          <w:rFonts w:ascii="Times New Roman" w:eastAsia="Times New Roman" w:hAnsi="Times New Roman" w:cs="Times New Roman"/>
          <w:color w:val="005500"/>
          <w:sz w:val="20"/>
          <w:szCs w:val="20"/>
        </w:rPr>
        <w:t xml:space="preserve">[402 U.S. 1, 10]   </w:t>
      </w:r>
      <w:r w:rsidRPr="00E6404C">
        <w:rPr>
          <w:rFonts w:ascii="Times New Roman" w:eastAsia="Times New Roman" w:hAnsi="Times New Roman" w:cs="Times New Roman"/>
          <w:szCs w:val="24"/>
        </w:rPr>
        <w:t xml:space="preserve">be accomplished. However, unlike the board plan, it does not stop there. It goes further and desegregates all the rest of the elementary schools by the technique of grouping two or three outlying schools with one black </w:t>
      </w:r>
      <w:proofErr w:type="gramStart"/>
      <w:r w:rsidRPr="00E6404C">
        <w:rPr>
          <w:rFonts w:ascii="Times New Roman" w:eastAsia="Times New Roman" w:hAnsi="Times New Roman" w:cs="Times New Roman"/>
          <w:szCs w:val="24"/>
        </w:rPr>
        <w:t>inner city</w:t>
      </w:r>
      <w:proofErr w:type="gramEnd"/>
      <w:r w:rsidRPr="00E6404C">
        <w:rPr>
          <w:rFonts w:ascii="Times New Roman" w:eastAsia="Times New Roman" w:hAnsi="Times New Roman" w:cs="Times New Roman"/>
          <w:szCs w:val="24"/>
        </w:rPr>
        <w:t xml:space="preserve"> school; by transporting black students from grades one through four to the outlying white schools; and by transporting white students from the fifth and sixth grades from the outlying white schools to the inner city black school." </w:t>
      </w:r>
    </w:p>
    <w:p w14:paraId="0F9E68DE"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Under the Finger plan, nine inner-city Negro schools were grouped in this manner with 24 suburban white schools. </w:t>
      </w:r>
    </w:p>
    <w:p w14:paraId="4B29D6C1"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On February 5, 1970, the District Court adopted the board plan, as modified by Dr. Finger, for the junior and senior high schools. The court rejected the board elementary school plan and adopted the Finger plan as presented. Implementation was partially stayed by the Court of Appeals for the Fourth Circuit on March 5, and this Court declined to disturb the Fourth Circuit's order, 397 U.S. 978 (1970). </w:t>
      </w:r>
    </w:p>
    <w:p w14:paraId="1F20763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On appeal the Court of Appeals affirmed the District Court's order as to faculty desegregation and the secondary school </w:t>
      </w:r>
      <w:proofErr w:type="gramStart"/>
      <w:r w:rsidRPr="00E6404C">
        <w:rPr>
          <w:rFonts w:ascii="Times New Roman" w:eastAsia="Times New Roman" w:hAnsi="Times New Roman" w:cs="Times New Roman"/>
          <w:szCs w:val="24"/>
        </w:rPr>
        <w:t>plans, but</w:t>
      </w:r>
      <w:proofErr w:type="gramEnd"/>
      <w:r w:rsidRPr="00E6404C">
        <w:rPr>
          <w:rFonts w:ascii="Times New Roman" w:eastAsia="Times New Roman" w:hAnsi="Times New Roman" w:cs="Times New Roman"/>
          <w:szCs w:val="24"/>
        </w:rPr>
        <w:t xml:space="preserve"> vacated the order respecting elementary schools. While agreeing that the District Court properly disapproved the board plan concerning these schools, the Court of Appeals feared that the pairing and grouping of elementary schools would place an unreasonable burden on the board and the system's pupils. The case was remanded to the District Court for reconsideration and submission of further plans. 431 </w:t>
      </w:r>
      <w:proofErr w:type="spellStart"/>
      <w:r w:rsidRPr="00E6404C">
        <w:rPr>
          <w:rFonts w:ascii="Times New Roman" w:eastAsia="Times New Roman" w:hAnsi="Times New Roman" w:cs="Times New Roman"/>
          <w:szCs w:val="24"/>
        </w:rPr>
        <w:t>F.2d</w:t>
      </w:r>
      <w:proofErr w:type="spellEnd"/>
      <w:r w:rsidRPr="00E6404C">
        <w:rPr>
          <w:rFonts w:ascii="Times New Roman" w:eastAsia="Times New Roman" w:hAnsi="Times New Roman" w:cs="Times New Roman"/>
          <w:szCs w:val="24"/>
        </w:rPr>
        <w:t xml:space="preserve"> 138. </w:t>
      </w:r>
      <w:bookmarkStart w:id="7" w:name="11"/>
      <w:r w:rsidRPr="00E6404C">
        <w:rPr>
          <w:rFonts w:ascii="Times New Roman" w:eastAsia="Times New Roman" w:hAnsi="Times New Roman" w:cs="Times New Roman"/>
          <w:color w:val="005500"/>
          <w:sz w:val="20"/>
          <w:szCs w:val="20"/>
        </w:rPr>
        <w:t xml:space="preserve">[402 U.S. 1, 11] </w:t>
      </w:r>
      <w:bookmarkEnd w:id="7"/>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This Court granted certiorari, 399 U.S. </w:t>
      </w:r>
      <w:proofErr w:type="gramStart"/>
      <w:r w:rsidRPr="00E6404C">
        <w:rPr>
          <w:rFonts w:ascii="Times New Roman" w:eastAsia="Times New Roman" w:hAnsi="Times New Roman" w:cs="Times New Roman"/>
          <w:szCs w:val="24"/>
        </w:rPr>
        <w:t>926 ,</w:t>
      </w:r>
      <w:proofErr w:type="gramEnd"/>
      <w:r w:rsidRPr="00E6404C">
        <w:rPr>
          <w:rFonts w:ascii="Times New Roman" w:eastAsia="Times New Roman" w:hAnsi="Times New Roman" w:cs="Times New Roman"/>
          <w:szCs w:val="24"/>
        </w:rPr>
        <w:t xml:space="preserve"> and directed reinstatement of the District Court's order pending further proceedings in that court. </w:t>
      </w:r>
    </w:p>
    <w:p w14:paraId="3B64F0FB"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On remand the District Court received two new plans for the elementary schools: a plan prepared by the United States Department of Health, Education, and Welfare (the HEW plan) based on contiguous grouping and zoning of schools, and a plan prepared by four members of the nine-member school board (the minority plan) achieving substantially the same results as the Finger </w:t>
      </w:r>
      <w:r w:rsidRPr="00E6404C">
        <w:rPr>
          <w:rFonts w:ascii="Times New Roman" w:eastAsia="Times New Roman" w:hAnsi="Times New Roman" w:cs="Times New Roman"/>
          <w:szCs w:val="24"/>
        </w:rPr>
        <w:lastRenderedPageBreak/>
        <w:t xml:space="preserve">plan but apparently with slightly less transportation. </w:t>
      </w:r>
      <w:proofErr w:type="gramStart"/>
      <w:r w:rsidRPr="00E6404C">
        <w:rPr>
          <w:rFonts w:ascii="Times New Roman" w:eastAsia="Times New Roman" w:hAnsi="Times New Roman" w:cs="Times New Roman"/>
          <w:szCs w:val="24"/>
        </w:rPr>
        <w:t>A majority of</w:t>
      </w:r>
      <w:proofErr w:type="gramEnd"/>
      <w:r w:rsidRPr="00E6404C">
        <w:rPr>
          <w:rFonts w:ascii="Times New Roman" w:eastAsia="Times New Roman" w:hAnsi="Times New Roman" w:cs="Times New Roman"/>
          <w:szCs w:val="24"/>
        </w:rPr>
        <w:t xml:space="preserve"> the school board declined to amend its proposal. After a lengthy evidentiary hearing the District Court concluded that its own plan (the Finger plan), the minority plan, and an earlier draft of the Finger plan were all reasonable and acceptable. It directed the board to adopt one of the three or in the alternative to come forward with a new, equally effective plan of its own; the court ordered that the Finger plan would remain in effect in the event the school board declined to adopt a new plan. On August 7, the board indicated it would "acquiesce" in the Finger plan, reiterating its view that the plan was unreasonable. The District Court, by order dated August 7, 1970, directed that the Finger plan remain in effect. </w:t>
      </w:r>
    </w:p>
    <w:p w14:paraId="2A7D9976"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II </w:t>
      </w:r>
    </w:p>
    <w:p w14:paraId="2F751A43"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Nearly 17 years ago this Court held, in explicit terms, that state-imposed segregation by race in public schools denies equal protection of the laws. At no time has the Court deviated in the slightest degree from that holding or its constitutional underpinnings. None of the parties before us challenges the Court's decision of May 17, 1954, that </w:t>
      </w:r>
    </w:p>
    <w:p w14:paraId="3A7D4060"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w:t>
      </w:r>
      <w:proofErr w:type="gramStart"/>
      <w:r w:rsidRPr="00E6404C">
        <w:rPr>
          <w:rFonts w:ascii="Times New Roman" w:eastAsia="Times New Roman" w:hAnsi="Times New Roman" w:cs="Times New Roman"/>
          <w:szCs w:val="24"/>
        </w:rPr>
        <w:t>in</w:t>
      </w:r>
      <w:proofErr w:type="gramEnd"/>
      <w:r w:rsidRPr="00E6404C">
        <w:rPr>
          <w:rFonts w:ascii="Times New Roman" w:eastAsia="Times New Roman" w:hAnsi="Times New Roman" w:cs="Times New Roman"/>
          <w:szCs w:val="24"/>
        </w:rPr>
        <w:t xml:space="preserve"> the field of public education the doctrine of `separate but equal' has no place. Separate educational facilities are inherently unequal. Therefore, </w:t>
      </w:r>
      <w:bookmarkStart w:id="8" w:name="12"/>
      <w:r w:rsidRPr="00E6404C">
        <w:rPr>
          <w:rFonts w:ascii="Times New Roman" w:eastAsia="Times New Roman" w:hAnsi="Times New Roman" w:cs="Times New Roman"/>
          <w:color w:val="005500"/>
          <w:sz w:val="20"/>
          <w:szCs w:val="20"/>
        </w:rPr>
        <w:t xml:space="preserve">[402 U.S. 1, 12] </w:t>
      </w:r>
      <w:bookmarkEnd w:id="8"/>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we hold that the plaintiffs and others similarly situated . . . are, by reason of the segregation complained of, deprived of the equal protection of the laws guaranteed by the Fourteenth Amendment</w:t>
      </w:r>
      <w:proofErr w:type="gramStart"/>
      <w:r w:rsidRPr="00E6404C">
        <w:rPr>
          <w:rFonts w:ascii="Times New Roman" w:eastAsia="Times New Roman" w:hAnsi="Times New Roman" w:cs="Times New Roman"/>
          <w:szCs w:val="24"/>
        </w:rPr>
        <w:t>. . . .</w:t>
      </w:r>
      <w:proofErr w:type="gramEnd"/>
      <w:r w:rsidRPr="00E6404C">
        <w:rPr>
          <w:rFonts w:ascii="Times New Roman" w:eastAsia="Times New Roman" w:hAnsi="Times New Roman" w:cs="Times New Roman"/>
          <w:szCs w:val="24"/>
        </w:rPr>
        <w:t xml:space="preserve"> </w:t>
      </w:r>
    </w:p>
    <w:p w14:paraId="721B7A04"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"Because these are class actions, because of the wide applicability of this decision, and because of the great variety of local conditions, the formulation of decrees in these cases presents problems of considerable complexity." Brown v. Board of Education, supra, at 495. </w:t>
      </w:r>
    </w:p>
    <w:p w14:paraId="2324CECF"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None of the parties before us questions the Court's 1955 holding in Brown II, that </w:t>
      </w:r>
    </w:p>
    <w:p w14:paraId="561EAFA4"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"School authorities have the primary responsibility for elucidating, assessing, and solving these problems; courts will have to consider whether the action of school authorities constitutes good faith implementation of the governing constitutional principles. Because of their proximity to local conditions and the possible need for further hearings, the courts which originally heard these cases can best perform this judicial appraisal. Accordingly, we believe it appropriate to remand the cases to those courts. </w:t>
      </w:r>
    </w:p>
    <w:p w14:paraId="72451B9D"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fashioning and effectuating the decrees, the courts will be guided by equitable principles. Traditionally, equity has been characterized by a practical flexibility in shaping its remedies and by a facility for adjusting and reconciling public and private needs. These cases call for the exercise of these traditional attributes of equity power. At stake is the personal interest of the plaintiffs in admission to public schools as soon as practicable on a nondiscriminatory basis. To effectuate this interest may call for elimination of a variety of obstacles in making the transition to school systems operated in accordance with the constitutional principles set forth in our May 17, 1954, decision. Courts of </w:t>
      </w:r>
      <w:bookmarkStart w:id="9" w:name="13"/>
      <w:r w:rsidRPr="00E6404C">
        <w:rPr>
          <w:rFonts w:ascii="Times New Roman" w:eastAsia="Times New Roman" w:hAnsi="Times New Roman" w:cs="Times New Roman"/>
          <w:color w:val="005500"/>
          <w:sz w:val="20"/>
          <w:szCs w:val="20"/>
        </w:rPr>
        <w:t xml:space="preserve">[402 U.S. 1, 13] </w:t>
      </w:r>
      <w:bookmarkEnd w:id="9"/>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equity may properly </w:t>
      </w:r>
      <w:proofErr w:type="gramStart"/>
      <w:r w:rsidRPr="00E6404C">
        <w:rPr>
          <w:rFonts w:ascii="Times New Roman" w:eastAsia="Times New Roman" w:hAnsi="Times New Roman" w:cs="Times New Roman"/>
          <w:szCs w:val="24"/>
        </w:rPr>
        <w:t>take into account</w:t>
      </w:r>
      <w:proofErr w:type="gramEnd"/>
      <w:r w:rsidRPr="00E6404C">
        <w:rPr>
          <w:rFonts w:ascii="Times New Roman" w:eastAsia="Times New Roman" w:hAnsi="Times New Roman" w:cs="Times New Roman"/>
          <w:szCs w:val="24"/>
        </w:rPr>
        <w:t xml:space="preserve"> the public interest in the elimination of such obstacles in a systematic and effective manner. But it should go without saying that the vitality of these constitutional principles cannot be allowed to yield simply because of disagreement with them." Brown v. Board of Education, 349 U.S. 294, 299 -300 (1955). </w:t>
      </w:r>
    </w:p>
    <w:p w14:paraId="60414B99"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lastRenderedPageBreak/>
        <w:t xml:space="preserve">Over the 16 years since Brown II, many difficulties were encountered in implementation of the basic constitutional requirement that the State not discriminate between public school children </w:t>
      </w:r>
      <w:proofErr w:type="gramStart"/>
      <w:r w:rsidRPr="00E6404C">
        <w:rPr>
          <w:rFonts w:ascii="Times New Roman" w:eastAsia="Times New Roman" w:hAnsi="Times New Roman" w:cs="Times New Roman"/>
          <w:szCs w:val="24"/>
        </w:rPr>
        <w:t>on the basis of</w:t>
      </w:r>
      <w:proofErr w:type="gramEnd"/>
      <w:r w:rsidRPr="00E6404C">
        <w:rPr>
          <w:rFonts w:ascii="Times New Roman" w:eastAsia="Times New Roman" w:hAnsi="Times New Roman" w:cs="Times New Roman"/>
          <w:szCs w:val="24"/>
        </w:rPr>
        <w:t xml:space="preserve"> their race. Nothing in our national experience prior to 1955 prepared anyone for dealing with changes and adjustments of the magnitude and complexity encountered since then. Deliberate resistance of some to the Court's mandates has impeded the good-faith efforts of others to bring school systems into compliance. The detail and nature of these dilatory tactics have been noted frequently by this Court and other courts. </w:t>
      </w:r>
    </w:p>
    <w:p w14:paraId="43FE0645"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By the time the Court considered Green v. County School Board, 391 U.S. </w:t>
      </w:r>
      <w:proofErr w:type="gramStart"/>
      <w:r w:rsidRPr="00E6404C">
        <w:rPr>
          <w:rFonts w:ascii="Times New Roman" w:eastAsia="Times New Roman" w:hAnsi="Times New Roman" w:cs="Times New Roman"/>
          <w:szCs w:val="24"/>
        </w:rPr>
        <w:t>430 ,</w:t>
      </w:r>
      <w:proofErr w:type="gramEnd"/>
      <w:r w:rsidRPr="00E6404C">
        <w:rPr>
          <w:rFonts w:ascii="Times New Roman" w:eastAsia="Times New Roman" w:hAnsi="Times New Roman" w:cs="Times New Roman"/>
          <w:szCs w:val="24"/>
        </w:rPr>
        <w:t xml:space="preserve"> in 1968, very little progress had been made in many areas where dual school systems had historically been maintained by operation of state laws. In Green, the Court was confronted with a record of a freedom-of-choice program that the District Court had found to operate in fact to preserve a dual system more than a decade after Brown II. While acknowledging that a freedom-of-choice concept could be a valid remedial measure in some circumstances, its failure to be effective in Green required that: </w:t>
      </w:r>
    </w:p>
    <w:p w14:paraId="03436F2B"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burden on a school board today is to come forward with a plan that promises realistically to work . . . now . . . until it is clear that state-imposed segregation has been completely removed." Green, supra, at 439. </w:t>
      </w:r>
      <w:bookmarkStart w:id="10" w:name="14"/>
      <w:r w:rsidRPr="00E6404C">
        <w:rPr>
          <w:rFonts w:ascii="Times New Roman" w:eastAsia="Times New Roman" w:hAnsi="Times New Roman" w:cs="Times New Roman"/>
          <w:color w:val="005500"/>
          <w:sz w:val="20"/>
          <w:szCs w:val="20"/>
        </w:rPr>
        <w:t xml:space="preserve">[402 U.S. 1, 14] </w:t>
      </w:r>
      <w:bookmarkEnd w:id="10"/>
      <w:r w:rsidRPr="00E6404C">
        <w:rPr>
          <w:rFonts w:ascii="Times New Roman" w:eastAsia="Times New Roman" w:hAnsi="Times New Roman" w:cs="Times New Roman"/>
          <w:color w:val="005500"/>
          <w:sz w:val="20"/>
          <w:szCs w:val="20"/>
        </w:rPr>
        <w:t xml:space="preserve">  </w:t>
      </w:r>
    </w:p>
    <w:p w14:paraId="4D0C7FE4"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This was plain language, yet the 1969 Term of Court brought fresh evidence of the dilatory tactics of many school authorities. Alexander v. Holmes County Board of Education, 396 U.S. </w:t>
      </w:r>
      <w:proofErr w:type="gramStart"/>
      <w:r w:rsidRPr="00E6404C">
        <w:rPr>
          <w:rFonts w:ascii="Times New Roman" w:eastAsia="Times New Roman" w:hAnsi="Times New Roman" w:cs="Times New Roman"/>
          <w:szCs w:val="24"/>
        </w:rPr>
        <w:t>19 ,</w:t>
      </w:r>
      <w:proofErr w:type="gramEnd"/>
      <w:r w:rsidRPr="00E6404C">
        <w:rPr>
          <w:rFonts w:ascii="Times New Roman" w:eastAsia="Times New Roman" w:hAnsi="Times New Roman" w:cs="Times New Roman"/>
          <w:szCs w:val="24"/>
        </w:rPr>
        <w:t xml:space="preserve"> restated the basic obligation asserted in Griffin v. School Board, 377 U.S. 218, 234 (1964), and Green, supra, that the remedy must be implemented forthwith. </w:t>
      </w:r>
    </w:p>
    <w:p w14:paraId="73931B4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problems encountered by the district courts and courts of appeals make plain that we should now try to amplify guidelines, however incomplete and imperfect, for the assistance of school authorities and courts. </w:t>
      </w:r>
      <w:bookmarkStart w:id="11" w:name="t5"/>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"f5"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5 </w:t>
      </w:r>
      <w:r w:rsidRPr="00E6404C">
        <w:rPr>
          <w:rFonts w:ascii="Times New Roman" w:eastAsia="Times New Roman" w:hAnsi="Times New Roman" w:cs="Times New Roman"/>
          <w:szCs w:val="24"/>
        </w:rPr>
        <w:fldChar w:fldCharType="end"/>
      </w:r>
      <w:bookmarkEnd w:id="11"/>
      <w:r w:rsidRPr="00E6404C">
        <w:rPr>
          <w:rFonts w:ascii="Times New Roman" w:eastAsia="Times New Roman" w:hAnsi="Times New Roman" w:cs="Times New Roman"/>
          <w:szCs w:val="24"/>
        </w:rPr>
        <w:t xml:space="preserve">The failure of local authorities to meet their constitutional obligations aggravated the massive problem of converting from the state-enforced discrimination of racially separate school systems. This process has been rendered more difficult by changes since 1954 in the structure and patterns of communities, the growth of student population, </w:t>
      </w:r>
      <w:bookmarkStart w:id="12" w:name="t6"/>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"f6"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6 </w:t>
      </w:r>
      <w:r w:rsidRPr="00E6404C">
        <w:rPr>
          <w:rFonts w:ascii="Times New Roman" w:eastAsia="Times New Roman" w:hAnsi="Times New Roman" w:cs="Times New Roman"/>
          <w:szCs w:val="24"/>
        </w:rPr>
        <w:fldChar w:fldCharType="end"/>
      </w:r>
      <w:bookmarkEnd w:id="12"/>
      <w:r w:rsidRPr="00E6404C">
        <w:rPr>
          <w:rFonts w:ascii="Times New Roman" w:eastAsia="Times New Roman" w:hAnsi="Times New Roman" w:cs="Times New Roman"/>
          <w:szCs w:val="24"/>
        </w:rPr>
        <w:t xml:space="preserve">movement of families, and other changes, some of which had marked impact on school planning, sometimes neutralizing or negating remedial action before it was fully implemented. Rural areas accustomed for half a century to the consolidated school systems implemented by bus transportation could </w:t>
      </w:r>
      <w:proofErr w:type="gramStart"/>
      <w:r w:rsidRPr="00E6404C">
        <w:rPr>
          <w:rFonts w:ascii="Times New Roman" w:eastAsia="Times New Roman" w:hAnsi="Times New Roman" w:cs="Times New Roman"/>
          <w:szCs w:val="24"/>
        </w:rPr>
        <w:t>make adjustments</w:t>
      </w:r>
      <w:proofErr w:type="gramEnd"/>
      <w:r w:rsidRPr="00E6404C">
        <w:rPr>
          <w:rFonts w:ascii="Times New Roman" w:eastAsia="Times New Roman" w:hAnsi="Times New Roman" w:cs="Times New Roman"/>
          <w:szCs w:val="24"/>
        </w:rPr>
        <w:t xml:space="preserve"> more readily than metropolitan areas with dense and shifting population, numerous schools, congested and complex traffic patterns. </w:t>
      </w:r>
      <w:bookmarkStart w:id="13" w:name="15"/>
      <w:r w:rsidRPr="00E6404C">
        <w:rPr>
          <w:rFonts w:ascii="Times New Roman" w:eastAsia="Times New Roman" w:hAnsi="Times New Roman" w:cs="Times New Roman"/>
          <w:color w:val="005500"/>
          <w:sz w:val="20"/>
          <w:szCs w:val="20"/>
        </w:rPr>
        <w:t xml:space="preserve">[402 U.S. 1, 15] </w:t>
      </w:r>
      <w:bookmarkEnd w:id="13"/>
      <w:r w:rsidRPr="00E6404C">
        <w:rPr>
          <w:rFonts w:ascii="Times New Roman" w:eastAsia="Times New Roman" w:hAnsi="Times New Roman" w:cs="Times New Roman"/>
          <w:color w:val="005500"/>
          <w:sz w:val="20"/>
          <w:szCs w:val="20"/>
        </w:rPr>
        <w:t xml:space="preserve">  </w:t>
      </w:r>
    </w:p>
    <w:p w14:paraId="6D8B6922"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III </w:t>
      </w:r>
    </w:p>
    <w:p w14:paraId="184D297A"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objective today remains to eliminate from the public schools all vestiges of state-imposed segregation. Segregation was the evil struck down by Brown I as contrary to the equal protection guarantees of the Constitution. That was the violation sought to be corrected by the remedial measures of Brown II. That was the basis for the holding in Green that school authorities are "clearly charged with the affirmative duty to take whatever steps might be necessary to convert to a unitary system in which racial discrimination would be eliminated root and branch." 391 U.S., at 437 -438. </w:t>
      </w:r>
    </w:p>
    <w:p w14:paraId="633CE4FD"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lastRenderedPageBreak/>
        <w:t xml:space="preserve">If school authorities fail in their affirmative obligations under these holdings, judicial authority may be invoked. Once a right and a violation have been shown, the scope of a district court's equitable powers to remedy past wrongs is broad, for breadth and flexibility are inherent in equitable remedies. </w:t>
      </w:r>
    </w:p>
    <w:p w14:paraId="3229BC8A"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essence of equity jurisdiction has been the power of the Chancellor to do equity and to </w:t>
      </w:r>
      <w:proofErr w:type="spellStart"/>
      <w:r w:rsidRPr="00E6404C">
        <w:rPr>
          <w:rFonts w:ascii="Times New Roman" w:eastAsia="Times New Roman" w:hAnsi="Times New Roman" w:cs="Times New Roman"/>
          <w:szCs w:val="24"/>
        </w:rPr>
        <w:t>mould</w:t>
      </w:r>
      <w:proofErr w:type="spellEnd"/>
      <w:r w:rsidRPr="00E6404C">
        <w:rPr>
          <w:rFonts w:ascii="Times New Roman" w:eastAsia="Times New Roman" w:hAnsi="Times New Roman" w:cs="Times New Roman"/>
          <w:szCs w:val="24"/>
        </w:rPr>
        <w:t xml:space="preserve"> each decree to the necessities of the particular case. Flexibility rather than rigidity has distinguished it. The qualities of mercy and practicality have made equity the instrument for nice adjustment and reconciliation between the public interest and private needs as well as between competing private claims." Hecht Co. v. Bowles, 321 U.S. 321, 329 -330 (1944), cited in Brown II, supra, at 300. </w:t>
      </w:r>
    </w:p>
    <w:p w14:paraId="0632D2ED"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This allocation of responsibility once made, the Court attempted from time to time to provide some guidelines for the exercise of the district judge's discretion and for the reviewing function of the courts of appeals. However, a school desegregation case does not differ fundamentally from other cases involving the framing of </w:t>
      </w:r>
      <w:bookmarkStart w:id="14" w:name="16"/>
      <w:r w:rsidRPr="00E6404C">
        <w:rPr>
          <w:rFonts w:ascii="Times New Roman" w:eastAsia="Times New Roman" w:hAnsi="Times New Roman" w:cs="Times New Roman"/>
          <w:color w:val="005500"/>
          <w:sz w:val="20"/>
          <w:szCs w:val="20"/>
        </w:rPr>
        <w:t xml:space="preserve">[402 U.S. 1, 16] </w:t>
      </w:r>
      <w:bookmarkEnd w:id="14"/>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equitable remedies to repair the denial of a constitutional right. The task is to correct, by a balancing of the individual and collective interests, the condition that offends the Constitution. </w:t>
      </w:r>
    </w:p>
    <w:p w14:paraId="66D28AF0"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seeking to define even in broad and general terms how far this remedial power extends it is important to remember that judicial powers may be exercised only </w:t>
      </w:r>
      <w:proofErr w:type="gramStart"/>
      <w:r w:rsidRPr="00E6404C">
        <w:rPr>
          <w:rFonts w:ascii="Times New Roman" w:eastAsia="Times New Roman" w:hAnsi="Times New Roman" w:cs="Times New Roman"/>
          <w:szCs w:val="24"/>
        </w:rPr>
        <w:t>on the basis of</w:t>
      </w:r>
      <w:proofErr w:type="gramEnd"/>
      <w:r w:rsidRPr="00E6404C">
        <w:rPr>
          <w:rFonts w:ascii="Times New Roman" w:eastAsia="Times New Roman" w:hAnsi="Times New Roman" w:cs="Times New Roman"/>
          <w:szCs w:val="24"/>
        </w:rPr>
        <w:t xml:space="preserve"> a constitutional violation. Remedial judicial authority does not put judges automatically in the shoes of school authorities whose powers are plenary. Judicial authority enters only when local authority defaults. </w:t>
      </w:r>
    </w:p>
    <w:p w14:paraId="362905E9"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School authorities are traditionally charged with broad power to formulate and implement educational policy and might well conclude, for example, that </w:t>
      </w:r>
      <w:proofErr w:type="gramStart"/>
      <w:r w:rsidRPr="00E6404C">
        <w:rPr>
          <w:rFonts w:ascii="Times New Roman" w:eastAsia="Times New Roman" w:hAnsi="Times New Roman" w:cs="Times New Roman"/>
          <w:szCs w:val="24"/>
        </w:rPr>
        <w:t>in order to</w:t>
      </w:r>
      <w:proofErr w:type="gramEnd"/>
      <w:r w:rsidRPr="00E6404C">
        <w:rPr>
          <w:rFonts w:ascii="Times New Roman" w:eastAsia="Times New Roman" w:hAnsi="Times New Roman" w:cs="Times New Roman"/>
          <w:szCs w:val="24"/>
        </w:rPr>
        <w:t xml:space="preserve"> prepare students to live in a pluralistic society each school should have a prescribed ratio of Negro to white students reflecting the proportion for the district as a whole. To do this as an educational policy is within the broad discretionary powers of school authorities; absent a finding of a constitutional violation, however, that would not be within the authority of a federal court. As with any equity case, the nature of the violation determines the scope of the remedy. In default by the school authorities of their obligation to proffer acceptable remedies, a district court has broad power to fashion a remedy that will assure a unitary school system. </w:t>
      </w:r>
    </w:p>
    <w:p w14:paraId="5ED484A0"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school authorities argue that the equity powers of federal district courts have been limited by Title IV of the Civil Rights Act of 1964, 42 U.S.C. </w:t>
      </w:r>
      <w:proofErr w:type="spellStart"/>
      <w:r w:rsidRPr="00E6404C">
        <w:rPr>
          <w:rFonts w:ascii="Times New Roman" w:eastAsia="Times New Roman" w:hAnsi="Times New Roman" w:cs="Times New Roman"/>
          <w:szCs w:val="24"/>
        </w:rPr>
        <w:t>2000c</w:t>
      </w:r>
      <w:proofErr w:type="spellEnd"/>
      <w:r w:rsidRPr="00E6404C">
        <w:rPr>
          <w:rFonts w:ascii="Times New Roman" w:eastAsia="Times New Roman" w:hAnsi="Times New Roman" w:cs="Times New Roman"/>
          <w:szCs w:val="24"/>
        </w:rPr>
        <w:t xml:space="preserve">. The language and the history of Title IV show that it was enacted not to limit but to define the role of the Federal Government in the implementation of the Brown I decision. It authorizes the Commissioner of Education to provide technical assistance to local boards in the preparation of desegregation plans, to arrange "training institutes" </w:t>
      </w:r>
      <w:bookmarkStart w:id="15" w:name="17"/>
      <w:r w:rsidRPr="00E6404C">
        <w:rPr>
          <w:rFonts w:ascii="Times New Roman" w:eastAsia="Times New Roman" w:hAnsi="Times New Roman" w:cs="Times New Roman"/>
          <w:color w:val="005500"/>
          <w:sz w:val="20"/>
          <w:szCs w:val="20"/>
        </w:rPr>
        <w:t xml:space="preserve">[402 U.S. 1, 17] </w:t>
      </w:r>
      <w:bookmarkEnd w:id="15"/>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for school personnel involved in desegregation efforts, and to make grants directly to schools to ease the transition to unitary systems. It also authorizes the Attorney General, in specified circumstances, to initiate federal desegregation suits. Section </w:t>
      </w:r>
      <w:proofErr w:type="spellStart"/>
      <w:r w:rsidRPr="00E6404C">
        <w:rPr>
          <w:rFonts w:ascii="Times New Roman" w:eastAsia="Times New Roman" w:hAnsi="Times New Roman" w:cs="Times New Roman"/>
          <w:szCs w:val="24"/>
        </w:rPr>
        <w:t>2000c</w:t>
      </w:r>
      <w:proofErr w:type="spellEnd"/>
      <w:r w:rsidRPr="00E6404C">
        <w:rPr>
          <w:rFonts w:ascii="Times New Roman" w:eastAsia="Times New Roman" w:hAnsi="Times New Roman" w:cs="Times New Roman"/>
          <w:szCs w:val="24"/>
        </w:rPr>
        <w:t xml:space="preserve"> (b) defines "desegregation" as it is used in Title IV: </w:t>
      </w:r>
    </w:p>
    <w:p w14:paraId="19F0C4D2"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 `Desegregation' means the assignment of students to public schools and within such schools without regard to their race, color, religion, or national origin, but `desegregation' </w:t>
      </w:r>
      <w:r w:rsidRPr="00E6404C">
        <w:rPr>
          <w:rFonts w:ascii="Times New Roman" w:eastAsia="Times New Roman" w:hAnsi="Times New Roman" w:cs="Times New Roman"/>
          <w:szCs w:val="24"/>
        </w:rPr>
        <w:lastRenderedPageBreak/>
        <w:t xml:space="preserve">shall not mean the assignment of students to public schools in order to overcome racial imbalance." </w:t>
      </w:r>
    </w:p>
    <w:p w14:paraId="44BB65D6"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Section </w:t>
      </w:r>
      <w:proofErr w:type="spellStart"/>
      <w:r w:rsidRPr="00E6404C">
        <w:rPr>
          <w:rFonts w:ascii="Times New Roman" w:eastAsia="Times New Roman" w:hAnsi="Times New Roman" w:cs="Times New Roman"/>
          <w:szCs w:val="24"/>
        </w:rPr>
        <w:t>2000c</w:t>
      </w:r>
      <w:proofErr w:type="spellEnd"/>
      <w:r w:rsidRPr="00E6404C">
        <w:rPr>
          <w:rFonts w:ascii="Times New Roman" w:eastAsia="Times New Roman" w:hAnsi="Times New Roman" w:cs="Times New Roman"/>
          <w:szCs w:val="24"/>
        </w:rPr>
        <w:t xml:space="preserve">-6, authorizing the Attorney General to institute federal suits, contains the following proviso: </w:t>
      </w:r>
    </w:p>
    <w:p w14:paraId="643E8966"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w:t>
      </w:r>
      <w:proofErr w:type="gramStart"/>
      <w:r w:rsidRPr="00E6404C">
        <w:rPr>
          <w:rFonts w:ascii="Times New Roman" w:eastAsia="Times New Roman" w:hAnsi="Times New Roman" w:cs="Times New Roman"/>
          <w:szCs w:val="24"/>
        </w:rPr>
        <w:t>nothing</w:t>
      </w:r>
      <w:proofErr w:type="gramEnd"/>
      <w:r w:rsidRPr="00E6404C">
        <w:rPr>
          <w:rFonts w:ascii="Times New Roman" w:eastAsia="Times New Roman" w:hAnsi="Times New Roman" w:cs="Times New Roman"/>
          <w:szCs w:val="24"/>
        </w:rPr>
        <w:t xml:space="preserve"> herein shall empower any official or court of the United States to issue any order seeking to achieve a racial balance in any school by requiring the transportation of pupils or students from one school to another or one school district to another in order to achieve such racial balance, or otherwise enlarge the existing power of the court to insure compliance with constitutional standards." </w:t>
      </w:r>
    </w:p>
    <w:p w14:paraId="4E29F2E8"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On their face, the sections quoted purport only to </w:t>
      </w:r>
      <w:proofErr w:type="gramStart"/>
      <w:r w:rsidRPr="00E6404C">
        <w:rPr>
          <w:rFonts w:ascii="Times New Roman" w:eastAsia="Times New Roman" w:hAnsi="Times New Roman" w:cs="Times New Roman"/>
          <w:szCs w:val="24"/>
        </w:rPr>
        <w:t>insure</w:t>
      </w:r>
      <w:proofErr w:type="gramEnd"/>
      <w:r w:rsidRPr="00E6404C">
        <w:rPr>
          <w:rFonts w:ascii="Times New Roman" w:eastAsia="Times New Roman" w:hAnsi="Times New Roman" w:cs="Times New Roman"/>
          <w:szCs w:val="24"/>
        </w:rPr>
        <w:t xml:space="preserve"> that the provisions of Title IV of the Civil Rights Act of 1964 will not be read as granting new powers. The proviso in </w:t>
      </w:r>
      <w:proofErr w:type="spellStart"/>
      <w:r w:rsidRPr="00E6404C">
        <w:rPr>
          <w:rFonts w:ascii="Times New Roman" w:eastAsia="Times New Roman" w:hAnsi="Times New Roman" w:cs="Times New Roman"/>
          <w:szCs w:val="24"/>
        </w:rPr>
        <w:t>2000c</w:t>
      </w:r>
      <w:proofErr w:type="spellEnd"/>
      <w:r w:rsidRPr="00E6404C">
        <w:rPr>
          <w:rFonts w:ascii="Times New Roman" w:eastAsia="Times New Roman" w:hAnsi="Times New Roman" w:cs="Times New Roman"/>
          <w:szCs w:val="24"/>
        </w:rPr>
        <w:t xml:space="preserve">-6 is in terms designed to foreclose any interpretation of the Act as expanding the existing powers of federal courts to enforce the Equal Protection Clause. There is no suggestion of an intention to restrict those powers or withdraw from courts their historic equitable remedial powers. The legislative history of Title IV indicates that Congress was concerned that the Act might be read as creating a right of action under the Fourteenth Amendment in the situation of so-called "de facto segregation," where racial imbalance exists in the </w:t>
      </w:r>
      <w:bookmarkStart w:id="16" w:name="18"/>
      <w:r w:rsidRPr="00E6404C">
        <w:rPr>
          <w:rFonts w:ascii="Times New Roman" w:eastAsia="Times New Roman" w:hAnsi="Times New Roman" w:cs="Times New Roman"/>
          <w:color w:val="005500"/>
          <w:sz w:val="20"/>
          <w:szCs w:val="20"/>
        </w:rPr>
        <w:t xml:space="preserve">[402 U.S. 1, 18] </w:t>
      </w:r>
      <w:bookmarkEnd w:id="16"/>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schools but with no showing that this was brought about by discriminatory action of state authorities. In short, there is nothing in the Act that provides us material assistance in answering the question of remedy for state-imposed segregation in violation of Brown I. The basis of our decision must be the prohibition of the Fourteenth Amendment that no State shall "deny to any person within its jurisdiction the equal protection of the laws." </w:t>
      </w:r>
    </w:p>
    <w:p w14:paraId="3A589ADA"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IV </w:t>
      </w:r>
    </w:p>
    <w:p w14:paraId="74397E99"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We turn now to the problem of defining with more particularity the responsibilities of school authorities in desegregating a state-enforced dual school system </w:t>
      </w:r>
      <w:proofErr w:type="gramStart"/>
      <w:r w:rsidRPr="00E6404C">
        <w:rPr>
          <w:rFonts w:ascii="Times New Roman" w:eastAsia="Times New Roman" w:hAnsi="Times New Roman" w:cs="Times New Roman"/>
          <w:szCs w:val="24"/>
        </w:rPr>
        <w:t>in light of</w:t>
      </w:r>
      <w:proofErr w:type="gramEnd"/>
      <w:r w:rsidRPr="00E6404C">
        <w:rPr>
          <w:rFonts w:ascii="Times New Roman" w:eastAsia="Times New Roman" w:hAnsi="Times New Roman" w:cs="Times New Roman"/>
          <w:szCs w:val="24"/>
        </w:rPr>
        <w:t xml:space="preserve"> the Equal Protection Clause. Although the several related cases before us are primarily concerned with problems of student assignment, it may be helpful to begin with a brief discussion of other aspects of the process. </w:t>
      </w:r>
    </w:p>
    <w:p w14:paraId="5CBAB8E1"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Green, we pointed out that existing policy and practice </w:t>
      </w:r>
      <w:proofErr w:type="gramStart"/>
      <w:r w:rsidRPr="00E6404C">
        <w:rPr>
          <w:rFonts w:ascii="Times New Roman" w:eastAsia="Times New Roman" w:hAnsi="Times New Roman" w:cs="Times New Roman"/>
          <w:szCs w:val="24"/>
        </w:rPr>
        <w:t>with regard to</w:t>
      </w:r>
      <w:proofErr w:type="gramEnd"/>
      <w:r w:rsidRPr="00E6404C">
        <w:rPr>
          <w:rFonts w:ascii="Times New Roman" w:eastAsia="Times New Roman" w:hAnsi="Times New Roman" w:cs="Times New Roman"/>
          <w:szCs w:val="24"/>
        </w:rPr>
        <w:t xml:space="preserve"> faculty, staff, transportation, extra-curricular activities, and facilities were among the most important indicia of a segregated system. 391 U.S., at </w:t>
      </w:r>
      <w:proofErr w:type="gramStart"/>
      <w:r w:rsidRPr="00E6404C">
        <w:rPr>
          <w:rFonts w:ascii="Times New Roman" w:eastAsia="Times New Roman" w:hAnsi="Times New Roman" w:cs="Times New Roman"/>
          <w:szCs w:val="24"/>
        </w:rPr>
        <w:t>435 .</w:t>
      </w:r>
      <w:proofErr w:type="gramEnd"/>
      <w:r w:rsidRPr="00E6404C">
        <w:rPr>
          <w:rFonts w:ascii="Times New Roman" w:eastAsia="Times New Roman" w:hAnsi="Times New Roman" w:cs="Times New Roman"/>
          <w:szCs w:val="24"/>
        </w:rPr>
        <w:t xml:space="preserve"> Independent of student assignment, where it is possible to identify a "white school" or a "Negro school" simply by reference to the racial composition of teachers and staff, the quality of school buildings and equipment, or the organization of sports activities, a prima facie case of violation of substantive constitutional rights under the Equal Protection Clause is shown. </w:t>
      </w:r>
    </w:p>
    <w:p w14:paraId="02536EFA"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When a system has been dual in these respects, the first remedial responsibility of school authorities is to eliminate invidious racial distinctions. With respect to such matters as transportation, supporting personnel, and extracurricular activities, no more than this may be necessary. Similar corrective action must be taken </w:t>
      </w:r>
      <w:proofErr w:type="gramStart"/>
      <w:r w:rsidRPr="00E6404C">
        <w:rPr>
          <w:rFonts w:ascii="Times New Roman" w:eastAsia="Times New Roman" w:hAnsi="Times New Roman" w:cs="Times New Roman"/>
          <w:szCs w:val="24"/>
        </w:rPr>
        <w:t>with regard to</w:t>
      </w:r>
      <w:proofErr w:type="gramEnd"/>
      <w:r w:rsidRPr="00E6404C">
        <w:rPr>
          <w:rFonts w:ascii="Times New Roman" w:eastAsia="Times New Roman" w:hAnsi="Times New Roman" w:cs="Times New Roman"/>
          <w:szCs w:val="24"/>
        </w:rPr>
        <w:t xml:space="preserve"> the maintenance of buildings and the distribution of equipment. In these areas, normal administrative </w:t>
      </w:r>
      <w:bookmarkStart w:id="17" w:name="19"/>
      <w:r w:rsidRPr="00E6404C">
        <w:rPr>
          <w:rFonts w:ascii="Times New Roman" w:eastAsia="Times New Roman" w:hAnsi="Times New Roman" w:cs="Times New Roman"/>
          <w:color w:val="005500"/>
          <w:sz w:val="20"/>
          <w:szCs w:val="20"/>
        </w:rPr>
        <w:t xml:space="preserve">[402 U.S. 1, 19] </w:t>
      </w:r>
      <w:bookmarkEnd w:id="17"/>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practice should produce schools of like quality, facilities, and staffs. Something more must be said, however, as to faculty assignment and new school construction. </w:t>
      </w:r>
    </w:p>
    <w:p w14:paraId="55D51B20"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lastRenderedPageBreak/>
        <w:t xml:space="preserve">In the companion Davis case, post, p. 33, the Mobile school board has argued that the Constitution requires that teachers be assigned on a "color blind" basis. It also argues that the Constitution prohibits district courts from using their equity power to order assignment of teachers to achieve a particular degree of faculty desegregation. We reject that contention. </w:t>
      </w:r>
    </w:p>
    <w:p w14:paraId="6B7E7E34"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United States v. Montgomery County Board of Education, 395 U.S. 225 (1969), the District Court set as a goal a plan of faculty assignment in each school with a ratio of white to Negro faculty members substantially the same throughout the system. This order was predicated on the District Court finding that: </w:t>
      </w:r>
    </w:p>
    <w:p w14:paraId="6EBC9117"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evidence does not reflect any real administrative problems involved in immediately desegregating the substitute teachers, the student teachers, the night school faculties, and in the evolvement of a really legally adequate program for the substantial desegregation of the faculties of all schools in the system commencing with the school year 1968-69." Quoted at 395 U.S., at </w:t>
      </w:r>
      <w:proofErr w:type="gramStart"/>
      <w:r w:rsidRPr="00E6404C">
        <w:rPr>
          <w:rFonts w:ascii="Times New Roman" w:eastAsia="Times New Roman" w:hAnsi="Times New Roman" w:cs="Times New Roman"/>
          <w:szCs w:val="24"/>
        </w:rPr>
        <w:t>232 .</w:t>
      </w:r>
      <w:proofErr w:type="gramEnd"/>
      <w:r w:rsidRPr="00E6404C">
        <w:rPr>
          <w:rFonts w:ascii="Times New Roman" w:eastAsia="Times New Roman" w:hAnsi="Times New Roman" w:cs="Times New Roman"/>
          <w:szCs w:val="24"/>
        </w:rPr>
        <w:t xml:space="preserve"> </w:t>
      </w:r>
    </w:p>
    <w:p w14:paraId="53171777"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District Court in Montgomery then proceeded to set an initial ratio for the whole system of at least two Negro teachers out of each 12 in any given school. The Court of Appeals modified the order by eliminating what it regarded as "fixed mathematical" ratios of faculty and substituted an initial requirement of "substantially or approximately" a five-to-one ratio. With respect to the future, the Court of Appeals held that the numerical ratio should be </w:t>
      </w:r>
      <w:proofErr w:type="gramStart"/>
      <w:r w:rsidRPr="00E6404C">
        <w:rPr>
          <w:rFonts w:ascii="Times New Roman" w:eastAsia="Times New Roman" w:hAnsi="Times New Roman" w:cs="Times New Roman"/>
          <w:szCs w:val="24"/>
        </w:rPr>
        <w:t>eliminated</w:t>
      </w:r>
      <w:proofErr w:type="gramEnd"/>
      <w:r w:rsidRPr="00E6404C">
        <w:rPr>
          <w:rFonts w:ascii="Times New Roman" w:eastAsia="Times New Roman" w:hAnsi="Times New Roman" w:cs="Times New Roman"/>
          <w:szCs w:val="24"/>
        </w:rPr>
        <w:t xml:space="preserve"> and that compliance should not be tested solely by the achievement of specified proportions. Id., at 234. </w:t>
      </w:r>
      <w:bookmarkStart w:id="18" w:name="20"/>
      <w:r w:rsidRPr="00E6404C">
        <w:rPr>
          <w:rFonts w:ascii="Times New Roman" w:eastAsia="Times New Roman" w:hAnsi="Times New Roman" w:cs="Times New Roman"/>
          <w:color w:val="005500"/>
          <w:sz w:val="20"/>
          <w:szCs w:val="20"/>
        </w:rPr>
        <w:t xml:space="preserve">[402 U.S. 1, 20] </w:t>
      </w:r>
      <w:bookmarkEnd w:id="18"/>
      <w:r w:rsidRPr="00E6404C">
        <w:rPr>
          <w:rFonts w:ascii="Times New Roman" w:eastAsia="Times New Roman" w:hAnsi="Times New Roman" w:cs="Times New Roman"/>
          <w:color w:val="005500"/>
          <w:sz w:val="20"/>
          <w:szCs w:val="20"/>
        </w:rPr>
        <w:t xml:space="preserve">  </w:t>
      </w:r>
    </w:p>
    <w:p w14:paraId="37EC10AA"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We reversed the Court of Appeals and restored the District Court's order in its entirety, holding that the order of the District Judge </w:t>
      </w:r>
    </w:p>
    <w:p w14:paraId="76481AD4"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w:t>
      </w:r>
      <w:proofErr w:type="gramStart"/>
      <w:r w:rsidRPr="00E6404C">
        <w:rPr>
          <w:rFonts w:ascii="Times New Roman" w:eastAsia="Times New Roman" w:hAnsi="Times New Roman" w:cs="Times New Roman"/>
          <w:szCs w:val="24"/>
        </w:rPr>
        <w:t>was</w:t>
      </w:r>
      <w:proofErr w:type="gramEnd"/>
      <w:r w:rsidRPr="00E6404C">
        <w:rPr>
          <w:rFonts w:ascii="Times New Roman" w:eastAsia="Times New Roman" w:hAnsi="Times New Roman" w:cs="Times New Roman"/>
          <w:szCs w:val="24"/>
        </w:rPr>
        <w:t xml:space="preserve"> adopted in the spirit of this Court's opinion in Green . . . in that his plan `promises realistically to work, and promises realistically to work now.' The modifications ordered by the panel of the Court of Appeals, while of course not intended to do so, would, we think, take from the order some of its capacity to expedite, by means of specific commands, the day when a completely unified, unitary, nondiscriminatory school system becomes a reality instead of a hope</w:t>
      </w:r>
      <w:proofErr w:type="gramStart"/>
      <w:r w:rsidRPr="00E6404C">
        <w:rPr>
          <w:rFonts w:ascii="Times New Roman" w:eastAsia="Times New Roman" w:hAnsi="Times New Roman" w:cs="Times New Roman"/>
          <w:szCs w:val="24"/>
        </w:rPr>
        <w:t>. . . .</w:t>
      </w:r>
      <w:proofErr w:type="gramEnd"/>
      <w:r w:rsidRPr="00E6404C">
        <w:rPr>
          <w:rFonts w:ascii="Times New Roman" w:eastAsia="Times New Roman" w:hAnsi="Times New Roman" w:cs="Times New Roman"/>
          <w:szCs w:val="24"/>
        </w:rPr>
        <w:t xml:space="preserve"> We also believe that under all the circumstances of this case we follow the original plan outlined in Brown II . . . by accepting the more specific and expeditious order of [District] Judge Johnson </w:t>
      </w:r>
      <w:proofErr w:type="gramStart"/>
      <w:r w:rsidRPr="00E6404C">
        <w:rPr>
          <w:rFonts w:ascii="Times New Roman" w:eastAsia="Times New Roman" w:hAnsi="Times New Roman" w:cs="Times New Roman"/>
          <w:szCs w:val="24"/>
        </w:rPr>
        <w:t>. . . .</w:t>
      </w:r>
      <w:proofErr w:type="gramEnd"/>
      <w:r w:rsidRPr="00E6404C">
        <w:rPr>
          <w:rFonts w:ascii="Times New Roman" w:eastAsia="Times New Roman" w:hAnsi="Times New Roman" w:cs="Times New Roman"/>
          <w:szCs w:val="24"/>
        </w:rPr>
        <w:t xml:space="preserve">" 395 U.S., at 235 -236 (emphasis in original). </w:t>
      </w:r>
    </w:p>
    <w:p w14:paraId="473A2563"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principles of Montgomery have been properly followed by the District Court and the Court of Appeals in this case. </w:t>
      </w:r>
    </w:p>
    <w:p w14:paraId="1CB90FDF"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construction of new schools and the closing of old ones are two of the most important functions of local school authorities </w:t>
      </w:r>
      <w:proofErr w:type="gramStart"/>
      <w:r w:rsidRPr="00E6404C">
        <w:rPr>
          <w:rFonts w:ascii="Times New Roman" w:eastAsia="Times New Roman" w:hAnsi="Times New Roman" w:cs="Times New Roman"/>
          <w:szCs w:val="24"/>
        </w:rPr>
        <w:t>and also</w:t>
      </w:r>
      <w:proofErr w:type="gramEnd"/>
      <w:r w:rsidRPr="00E6404C">
        <w:rPr>
          <w:rFonts w:ascii="Times New Roman" w:eastAsia="Times New Roman" w:hAnsi="Times New Roman" w:cs="Times New Roman"/>
          <w:szCs w:val="24"/>
        </w:rPr>
        <w:t xml:space="preserve"> two of the most complex. They must decide questions of location and capacity </w:t>
      </w:r>
      <w:proofErr w:type="gramStart"/>
      <w:r w:rsidRPr="00E6404C">
        <w:rPr>
          <w:rFonts w:ascii="Times New Roman" w:eastAsia="Times New Roman" w:hAnsi="Times New Roman" w:cs="Times New Roman"/>
          <w:szCs w:val="24"/>
        </w:rPr>
        <w:t>in light of</w:t>
      </w:r>
      <w:proofErr w:type="gramEnd"/>
      <w:r w:rsidRPr="00E6404C">
        <w:rPr>
          <w:rFonts w:ascii="Times New Roman" w:eastAsia="Times New Roman" w:hAnsi="Times New Roman" w:cs="Times New Roman"/>
          <w:szCs w:val="24"/>
        </w:rPr>
        <w:t xml:space="preserve"> population growth, finances, land values, site availability, through an almost endless list of factors to be considered. The result of this will be a decision which, when combined with one technique or another of student assignment, will determine the racial composition of the student body in each school in the system. Over the long run, the consequences of the choices will be far reaching. People gravitate toward school facilities, just as schools </w:t>
      </w:r>
      <w:proofErr w:type="gramStart"/>
      <w:r w:rsidRPr="00E6404C">
        <w:rPr>
          <w:rFonts w:ascii="Times New Roman" w:eastAsia="Times New Roman" w:hAnsi="Times New Roman" w:cs="Times New Roman"/>
          <w:szCs w:val="24"/>
        </w:rPr>
        <w:t>are located in</w:t>
      </w:r>
      <w:proofErr w:type="gramEnd"/>
      <w:r w:rsidRPr="00E6404C">
        <w:rPr>
          <w:rFonts w:ascii="Times New Roman" w:eastAsia="Times New Roman" w:hAnsi="Times New Roman" w:cs="Times New Roman"/>
          <w:szCs w:val="24"/>
        </w:rPr>
        <w:t xml:space="preserve"> response to the needs of people. The location of schools </w:t>
      </w:r>
      <w:r w:rsidRPr="00E6404C">
        <w:rPr>
          <w:rFonts w:ascii="Times New Roman" w:eastAsia="Times New Roman" w:hAnsi="Times New Roman" w:cs="Times New Roman"/>
          <w:szCs w:val="24"/>
        </w:rPr>
        <w:lastRenderedPageBreak/>
        <w:t xml:space="preserve">may thus influence </w:t>
      </w:r>
      <w:bookmarkStart w:id="19" w:name="21"/>
      <w:r w:rsidRPr="00E6404C">
        <w:rPr>
          <w:rFonts w:ascii="Times New Roman" w:eastAsia="Times New Roman" w:hAnsi="Times New Roman" w:cs="Times New Roman"/>
          <w:color w:val="005500"/>
          <w:sz w:val="20"/>
          <w:szCs w:val="20"/>
        </w:rPr>
        <w:t xml:space="preserve">[402 U.S. 1, 21] </w:t>
      </w:r>
      <w:bookmarkEnd w:id="19"/>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the patterns of residential development of a metropolitan area and have important impact on composition of inner-city neighborhoods. </w:t>
      </w:r>
    </w:p>
    <w:p w14:paraId="02A2ADBD"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the past, choices in this respect have been used as a potent weapon for creating or maintaining a state-segregated school system. In addition to the classic pattern of building schools specifically intended for Negro or white students, school authorities have sometimes, since Brown, closed schools which appeared likely to become racially mixed through changes in neighborhood residential patterns. This was sometimes accompanied by building new schools in the areas of white suburban expansion farthest from Negro population centers </w:t>
      </w:r>
      <w:proofErr w:type="gramStart"/>
      <w:r w:rsidRPr="00E6404C">
        <w:rPr>
          <w:rFonts w:ascii="Times New Roman" w:eastAsia="Times New Roman" w:hAnsi="Times New Roman" w:cs="Times New Roman"/>
          <w:szCs w:val="24"/>
        </w:rPr>
        <w:t>in order to</w:t>
      </w:r>
      <w:proofErr w:type="gramEnd"/>
      <w:r w:rsidRPr="00E6404C">
        <w:rPr>
          <w:rFonts w:ascii="Times New Roman" w:eastAsia="Times New Roman" w:hAnsi="Times New Roman" w:cs="Times New Roman"/>
          <w:szCs w:val="24"/>
        </w:rPr>
        <w:t xml:space="preserve"> maintain the separation of the races with a minimum departure from the formal principles of "neighborhood zoning." Such a policy does more than simply influence the short-run composition of the student body of a new school. It may well promote segregated residential patterns which, when combined with "neighborhood zoning," further lock the school system into the mold of separation of the races. Upon a proper showing a district court may consider this in fashioning a remedy. </w:t>
      </w:r>
    </w:p>
    <w:p w14:paraId="35EFE954"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ascertaining the existence of legally imposed school segregation, the existence of a pattern of school construction and abandonment is thus a factor of great weight. In devising remedies where legally imposed segregation has been established, it is the responsibility of local authorities and district courts to see to it that future school construction and abandonment are not used and do not serve to perpetuate or re-establish the dual system. When necessary, district courts should retain jurisdiction to assure that these responsibilities are carried out. Cf. United States v. Board of Public Instruction, 395 </w:t>
      </w:r>
      <w:proofErr w:type="spellStart"/>
      <w:r w:rsidRPr="00E6404C">
        <w:rPr>
          <w:rFonts w:ascii="Times New Roman" w:eastAsia="Times New Roman" w:hAnsi="Times New Roman" w:cs="Times New Roman"/>
          <w:szCs w:val="24"/>
        </w:rPr>
        <w:t>F.2d</w:t>
      </w:r>
      <w:proofErr w:type="spellEnd"/>
      <w:r w:rsidRPr="00E6404C">
        <w:rPr>
          <w:rFonts w:ascii="Times New Roman" w:eastAsia="Times New Roman" w:hAnsi="Times New Roman" w:cs="Times New Roman"/>
          <w:szCs w:val="24"/>
        </w:rPr>
        <w:t xml:space="preserve"> 66 (</w:t>
      </w:r>
      <w:proofErr w:type="spellStart"/>
      <w:r w:rsidRPr="00E6404C">
        <w:rPr>
          <w:rFonts w:ascii="Times New Roman" w:eastAsia="Times New Roman" w:hAnsi="Times New Roman" w:cs="Times New Roman"/>
          <w:szCs w:val="24"/>
        </w:rPr>
        <w:t>CA5</w:t>
      </w:r>
      <w:proofErr w:type="spellEnd"/>
      <w:r w:rsidRPr="00E6404C">
        <w:rPr>
          <w:rFonts w:ascii="Times New Roman" w:eastAsia="Times New Roman" w:hAnsi="Times New Roman" w:cs="Times New Roman"/>
          <w:szCs w:val="24"/>
        </w:rPr>
        <w:t xml:space="preserve"> 1968); Brewer v. School Board, 397 </w:t>
      </w:r>
      <w:proofErr w:type="spellStart"/>
      <w:r w:rsidRPr="00E6404C">
        <w:rPr>
          <w:rFonts w:ascii="Times New Roman" w:eastAsia="Times New Roman" w:hAnsi="Times New Roman" w:cs="Times New Roman"/>
          <w:szCs w:val="24"/>
        </w:rPr>
        <w:t>F.2d</w:t>
      </w:r>
      <w:proofErr w:type="spellEnd"/>
      <w:r w:rsidRPr="00E6404C">
        <w:rPr>
          <w:rFonts w:ascii="Times New Roman" w:eastAsia="Times New Roman" w:hAnsi="Times New Roman" w:cs="Times New Roman"/>
          <w:szCs w:val="24"/>
        </w:rPr>
        <w:t xml:space="preserve"> 37 (</w:t>
      </w:r>
      <w:proofErr w:type="spellStart"/>
      <w:r w:rsidRPr="00E6404C">
        <w:rPr>
          <w:rFonts w:ascii="Times New Roman" w:eastAsia="Times New Roman" w:hAnsi="Times New Roman" w:cs="Times New Roman"/>
          <w:szCs w:val="24"/>
        </w:rPr>
        <w:t>CA4</w:t>
      </w:r>
      <w:proofErr w:type="spellEnd"/>
      <w:r w:rsidRPr="00E6404C">
        <w:rPr>
          <w:rFonts w:ascii="Times New Roman" w:eastAsia="Times New Roman" w:hAnsi="Times New Roman" w:cs="Times New Roman"/>
          <w:szCs w:val="24"/>
        </w:rPr>
        <w:t xml:space="preserve"> 1968). </w:t>
      </w:r>
      <w:bookmarkStart w:id="20" w:name="22"/>
      <w:r w:rsidRPr="00E6404C">
        <w:rPr>
          <w:rFonts w:ascii="Times New Roman" w:eastAsia="Times New Roman" w:hAnsi="Times New Roman" w:cs="Times New Roman"/>
          <w:color w:val="005500"/>
          <w:sz w:val="20"/>
          <w:szCs w:val="20"/>
        </w:rPr>
        <w:t xml:space="preserve">[402 U.S. 1, 22] </w:t>
      </w:r>
      <w:bookmarkEnd w:id="20"/>
      <w:r w:rsidRPr="00E6404C">
        <w:rPr>
          <w:rFonts w:ascii="Times New Roman" w:eastAsia="Times New Roman" w:hAnsi="Times New Roman" w:cs="Times New Roman"/>
          <w:color w:val="005500"/>
          <w:sz w:val="20"/>
          <w:szCs w:val="20"/>
        </w:rPr>
        <w:t xml:space="preserve">  </w:t>
      </w:r>
    </w:p>
    <w:p w14:paraId="4FD701CD"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V </w:t>
      </w:r>
    </w:p>
    <w:p w14:paraId="066CEE7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central issue in this case is that of student assignment, and there are essentially four problem areas: </w:t>
      </w:r>
    </w:p>
    <w:p w14:paraId="1C060329"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(1) to what extent racial balance or racial quotas may be used as an implement in a remedial order to correct a previously segregated </w:t>
      </w:r>
      <w:proofErr w:type="gramStart"/>
      <w:r w:rsidRPr="00E6404C">
        <w:rPr>
          <w:rFonts w:ascii="Times New Roman" w:eastAsia="Times New Roman" w:hAnsi="Times New Roman" w:cs="Times New Roman"/>
          <w:szCs w:val="24"/>
        </w:rPr>
        <w:t>system;</w:t>
      </w:r>
      <w:proofErr w:type="gramEnd"/>
      <w:r w:rsidRPr="00E6404C">
        <w:rPr>
          <w:rFonts w:ascii="Times New Roman" w:eastAsia="Times New Roman" w:hAnsi="Times New Roman" w:cs="Times New Roman"/>
          <w:szCs w:val="24"/>
        </w:rPr>
        <w:t xml:space="preserve"> </w:t>
      </w:r>
    </w:p>
    <w:p w14:paraId="2DB3F5E4"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(2) whether every all-Negro and all-white school must be eliminated as an indispensable part of a remedial process of </w:t>
      </w:r>
      <w:proofErr w:type="gramStart"/>
      <w:r w:rsidRPr="00E6404C">
        <w:rPr>
          <w:rFonts w:ascii="Times New Roman" w:eastAsia="Times New Roman" w:hAnsi="Times New Roman" w:cs="Times New Roman"/>
          <w:szCs w:val="24"/>
        </w:rPr>
        <w:t>desegregation;</w:t>
      </w:r>
      <w:proofErr w:type="gramEnd"/>
      <w:r w:rsidRPr="00E6404C">
        <w:rPr>
          <w:rFonts w:ascii="Times New Roman" w:eastAsia="Times New Roman" w:hAnsi="Times New Roman" w:cs="Times New Roman"/>
          <w:szCs w:val="24"/>
        </w:rPr>
        <w:t xml:space="preserve"> </w:t>
      </w:r>
    </w:p>
    <w:p w14:paraId="6BECF5E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(3) what the limits are, if any, on the rearrangement of school districts and attendance zones, as a remedial measure; and </w:t>
      </w:r>
    </w:p>
    <w:p w14:paraId="7CA39DF3"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(4) what the limits are, if any, on the use of transportation facilities to correct state-enforced racial school segregation. </w:t>
      </w:r>
    </w:p>
    <w:p w14:paraId="2BEF6219"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(1) Racial Balances or Racial Quotas. </w:t>
      </w:r>
    </w:p>
    <w:p w14:paraId="19932570"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lastRenderedPageBreak/>
        <w:t xml:space="preserve">The constant theme and thrust of every holding from Brown I to date is that state-enforced separation of races in public schools is discrimination that violates the Equal Protection Clause. The remedy commanded was to dismantle dual school systems. </w:t>
      </w:r>
    </w:p>
    <w:p w14:paraId="3D0FF0AF"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We are concerned in these cases with the elimination of the discrimination inherent in the dual school systems, not with myriad factors of human existence which can cause discrimination in a multitude of ways on racial, religious, or ethnic grounds. The target of the cases from Brown I to the present was the dual school system. The elimination of racial discrimination in public schools is a large task and one that should not be retarded by efforts to achieve broader purposes lying beyond the jurisdiction of school authorities. One vehicle can carry only a limited amount of baggage. It would not serve the important objective of Brown I to seek to use school desegregation cases for purposes beyond their scope, although desegregation of schools ultimately will have </w:t>
      </w:r>
      <w:bookmarkStart w:id="21" w:name="23"/>
      <w:r w:rsidRPr="00E6404C">
        <w:rPr>
          <w:rFonts w:ascii="Times New Roman" w:eastAsia="Times New Roman" w:hAnsi="Times New Roman" w:cs="Times New Roman"/>
          <w:color w:val="005500"/>
          <w:sz w:val="20"/>
          <w:szCs w:val="20"/>
        </w:rPr>
        <w:t xml:space="preserve">[402 U.S. 1, 23] </w:t>
      </w:r>
      <w:bookmarkEnd w:id="21"/>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impact on other forms of discrimination. We do not reach in this case the question whether a showing that school segregation is a consequence of other types of state action, without any discriminatory action by the school authorities, is a constitutional violation requiring remedial action by a school desegregation decree. This case does not present that question and we therefore do not decide it. </w:t>
      </w:r>
    </w:p>
    <w:p w14:paraId="27914FDA"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Our objective in dealing with the issues presented by these cases is to see that school authorities exclude no pupil of a racial minority from any school, directly or indirectly, on account of race; it does not and cannot embrace all the problems of racial prejudice, even when those problems contribute to disproportionate racial concentrations in some schools. </w:t>
      </w:r>
    </w:p>
    <w:p w14:paraId="0CB135B7"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this case it is urged that the District Court has imposed a racial balance requirement of 71%-29% on individual schools. The fact that no such objective was </w:t>
      </w:r>
      <w:proofErr w:type="gramStart"/>
      <w:r w:rsidRPr="00E6404C">
        <w:rPr>
          <w:rFonts w:ascii="Times New Roman" w:eastAsia="Times New Roman" w:hAnsi="Times New Roman" w:cs="Times New Roman"/>
          <w:szCs w:val="24"/>
        </w:rPr>
        <w:t>actually achieved</w:t>
      </w:r>
      <w:proofErr w:type="gramEnd"/>
      <w:r w:rsidRPr="00E6404C">
        <w:rPr>
          <w:rFonts w:ascii="Times New Roman" w:eastAsia="Times New Roman" w:hAnsi="Times New Roman" w:cs="Times New Roman"/>
          <w:szCs w:val="24"/>
        </w:rPr>
        <w:t xml:space="preserve"> - and would appear to be impossible - tends to blunt that claim, yet in the opinion and order of the District Court of December 1, 1969, we find that court directing </w:t>
      </w:r>
    </w:p>
    <w:p w14:paraId="056666F4"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"that efforts should be made to reach a 71-29 ratio in the various schools so that there will be no basis for contending that one school is racially different from the others . . ., [t]hat no school [should] be operated with an all-black or predominantly black student body, [and] [t]hat pupils of all grades [should] be assigned in such a way that as nearly as practicable the various schools at various grade levels have about the same proportion of black and white students." </w:t>
      </w:r>
    </w:p>
    <w:p w14:paraId="44885E54" w14:textId="77777777" w:rsidR="00E6404C" w:rsidRPr="00E6404C" w:rsidRDefault="00E6404C" w:rsidP="00E6404C">
      <w:pPr>
        <w:spacing w:after="0"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District Judge went on to acknowledge that variation "from that norm may be unavoidable." This contains intimations that the "norm" is a fixed mathematical </w:t>
      </w:r>
      <w:bookmarkStart w:id="22" w:name="24"/>
      <w:r w:rsidRPr="00E6404C">
        <w:rPr>
          <w:rFonts w:ascii="Times New Roman" w:eastAsia="Times New Roman" w:hAnsi="Times New Roman" w:cs="Times New Roman"/>
          <w:color w:val="005500"/>
          <w:sz w:val="20"/>
          <w:szCs w:val="20"/>
        </w:rPr>
        <w:t xml:space="preserve">[402 U.S. 1, 24] </w:t>
      </w:r>
      <w:bookmarkEnd w:id="22"/>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racial balance reflecting the pupil constituency of the system. If we were to read the holding of the District Court to require, as a matter of substantive constitutional right, any particular degree of racial balance or mixing, that approach would be </w:t>
      </w:r>
      <w:proofErr w:type="gramStart"/>
      <w:r w:rsidRPr="00E6404C">
        <w:rPr>
          <w:rFonts w:ascii="Times New Roman" w:eastAsia="Times New Roman" w:hAnsi="Times New Roman" w:cs="Times New Roman"/>
          <w:szCs w:val="24"/>
        </w:rPr>
        <w:t>disapproved</w:t>
      </w:r>
      <w:proofErr w:type="gramEnd"/>
      <w:r w:rsidRPr="00E6404C">
        <w:rPr>
          <w:rFonts w:ascii="Times New Roman" w:eastAsia="Times New Roman" w:hAnsi="Times New Roman" w:cs="Times New Roman"/>
          <w:szCs w:val="24"/>
        </w:rPr>
        <w:t xml:space="preserve"> and we would be obliged to reverse. The constitutional command to desegregate schools does not mean that every school in every community must always reflect the racial composition of the school </w:t>
      </w:r>
      <w:proofErr w:type="gramStart"/>
      <w:r w:rsidRPr="00E6404C">
        <w:rPr>
          <w:rFonts w:ascii="Times New Roman" w:eastAsia="Times New Roman" w:hAnsi="Times New Roman" w:cs="Times New Roman"/>
          <w:szCs w:val="24"/>
        </w:rPr>
        <w:t>system as a whole</w:t>
      </w:r>
      <w:proofErr w:type="gramEnd"/>
      <w:r w:rsidRPr="00E6404C">
        <w:rPr>
          <w:rFonts w:ascii="Times New Roman" w:eastAsia="Times New Roman" w:hAnsi="Times New Roman" w:cs="Times New Roman"/>
          <w:szCs w:val="24"/>
        </w:rPr>
        <w:t xml:space="preserve">. </w:t>
      </w:r>
    </w:p>
    <w:p w14:paraId="3E97A57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As the voluminous record in this case shows, </w:t>
      </w:r>
      <w:bookmarkStart w:id="23" w:name="t7"/>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"f7"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7 </w:t>
      </w:r>
      <w:r w:rsidRPr="00E6404C">
        <w:rPr>
          <w:rFonts w:ascii="Times New Roman" w:eastAsia="Times New Roman" w:hAnsi="Times New Roman" w:cs="Times New Roman"/>
          <w:szCs w:val="24"/>
        </w:rPr>
        <w:fldChar w:fldCharType="end"/>
      </w:r>
      <w:bookmarkEnd w:id="23"/>
      <w:r w:rsidRPr="00E6404C">
        <w:rPr>
          <w:rFonts w:ascii="Times New Roman" w:eastAsia="Times New Roman" w:hAnsi="Times New Roman" w:cs="Times New Roman"/>
          <w:szCs w:val="24"/>
        </w:rPr>
        <w:t xml:space="preserve">the predicate for the District Court's use of the 71%-29% ratio was twofold: first, its express finding, approved by the Court of Appeals and not challenged here, that a dual school system had been maintained by the school authorities at least until 1969; second, its finding, also approved by the Court of Appeals, that the school board had </w:t>
      </w:r>
      <w:r w:rsidRPr="00E6404C">
        <w:rPr>
          <w:rFonts w:ascii="Times New Roman" w:eastAsia="Times New Roman" w:hAnsi="Times New Roman" w:cs="Times New Roman"/>
          <w:szCs w:val="24"/>
        </w:rPr>
        <w:lastRenderedPageBreak/>
        <w:t xml:space="preserve">totally defaulted in its acknowledged duty to come forward with an acceptable plan of its own, notwithstanding the patient efforts of the District Judge who, on at least three occasions, urged the board to submit plans. </w:t>
      </w:r>
      <w:bookmarkStart w:id="24" w:name="t8"/>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"f8"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8 </w:t>
      </w:r>
      <w:r w:rsidRPr="00E6404C">
        <w:rPr>
          <w:rFonts w:ascii="Times New Roman" w:eastAsia="Times New Roman" w:hAnsi="Times New Roman" w:cs="Times New Roman"/>
          <w:szCs w:val="24"/>
        </w:rPr>
        <w:fldChar w:fldCharType="end"/>
      </w:r>
      <w:bookmarkEnd w:id="24"/>
      <w:r w:rsidRPr="00E6404C">
        <w:rPr>
          <w:rFonts w:ascii="Times New Roman" w:eastAsia="Times New Roman" w:hAnsi="Times New Roman" w:cs="Times New Roman"/>
          <w:szCs w:val="24"/>
        </w:rPr>
        <w:t xml:space="preserve">As the statement of facts shows, these findings are abundantly </w:t>
      </w:r>
      <w:bookmarkStart w:id="25" w:name="25"/>
      <w:r w:rsidRPr="00E6404C">
        <w:rPr>
          <w:rFonts w:ascii="Times New Roman" w:eastAsia="Times New Roman" w:hAnsi="Times New Roman" w:cs="Times New Roman"/>
          <w:color w:val="005500"/>
          <w:sz w:val="20"/>
          <w:szCs w:val="20"/>
        </w:rPr>
        <w:t xml:space="preserve">[402 U.S. 1, 25] </w:t>
      </w:r>
      <w:bookmarkEnd w:id="25"/>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supported by the record. It was because of this total failure of the school board that the District Court was obliged to turn to other qualified sources, and Dr. Finger was designated to assist the District Court to do what the board should have done. </w:t>
      </w:r>
    </w:p>
    <w:p w14:paraId="5AB4989B"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We see therefore that the use made of mathematical ratios was no more than a starting point in the process of shaping a remedy, rather than an inflexible requirement. From that starting point the District Court proceeded to frame a decree that was within its discretionary powers, as an equitable remedy for the </w:t>
      </w:r>
      <w:proofErr w:type="gramStart"/>
      <w:r w:rsidRPr="00E6404C">
        <w:rPr>
          <w:rFonts w:ascii="Times New Roman" w:eastAsia="Times New Roman" w:hAnsi="Times New Roman" w:cs="Times New Roman"/>
          <w:szCs w:val="24"/>
        </w:rPr>
        <w:t>particular circumstances</w:t>
      </w:r>
      <w:proofErr w:type="gramEnd"/>
      <w:r w:rsidRPr="00E6404C">
        <w:rPr>
          <w:rFonts w:ascii="Times New Roman" w:eastAsia="Times New Roman" w:hAnsi="Times New Roman" w:cs="Times New Roman"/>
          <w:szCs w:val="24"/>
        </w:rPr>
        <w:t xml:space="preserve">. </w:t>
      </w:r>
      <w:bookmarkStart w:id="26" w:name="t9"/>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"f9"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9 </w:t>
      </w:r>
      <w:r w:rsidRPr="00E6404C">
        <w:rPr>
          <w:rFonts w:ascii="Times New Roman" w:eastAsia="Times New Roman" w:hAnsi="Times New Roman" w:cs="Times New Roman"/>
          <w:szCs w:val="24"/>
        </w:rPr>
        <w:fldChar w:fldCharType="end"/>
      </w:r>
      <w:bookmarkEnd w:id="26"/>
      <w:r w:rsidRPr="00E6404C">
        <w:rPr>
          <w:rFonts w:ascii="Times New Roman" w:eastAsia="Times New Roman" w:hAnsi="Times New Roman" w:cs="Times New Roman"/>
          <w:szCs w:val="24"/>
        </w:rPr>
        <w:t xml:space="preserve">As we said in Green, a school authority's remedial plan or a district court's remedial decree is to be judged by its effectiveness. Awareness of the racial composition of the whole school system is likely to be a useful starting point in shaping a remedy to correct past constitutional violations. In sum, the very limited use made of mathematical ratios was within the equitable remedial discretion of the District Court. </w:t>
      </w:r>
    </w:p>
    <w:p w14:paraId="5D4F573C"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(2) One-race Schools. </w:t>
      </w:r>
    </w:p>
    <w:p w14:paraId="47D28C56"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record in this case reveals the familiar phenomenon that in metropolitan areas minority groups are often found concentrated in one part of the city. In some circumstances certain schools may remain all or largely of one race until new schools can be provided or neighborhood patterns change. Schools all or predominately </w:t>
      </w:r>
      <w:bookmarkStart w:id="27" w:name="26"/>
      <w:r w:rsidRPr="00E6404C">
        <w:rPr>
          <w:rFonts w:ascii="Times New Roman" w:eastAsia="Times New Roman" w:hAnsi="Times New Roman" w:cs="Times New Roman"/>
          <w:color w:val="005500"/>
          <w:sz w:val="20"/>
          <w:szCs w:val="20"/>
        </w:rPr>
        <w:t xml:space="preserve">[402 U.S. 1, 26] </w:t>
      </w:r>
      <w:bookmarkEnd w:id="27"/>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of one race in a district of mixed population will require </w:t>
      </w:r>
      <w:proofErr w:type="gramStart"/>
      <w:r w:rsidRPr="00E6404C">
        <w:rPr>
          <w:rFonts w:ascii="Times New Roman" w:eastAsia="Times New Roman" w:hAnsi="Times New Roman" w:cs="Times New Roman"/>
          <w:szCs w:val="24"/>
        </w:rPr>
        <w:t>close scrutiny</w:t>
      </w:r>
      <w:proofErr w:type="gramEnd"/>
      <w:r w:rsidRPr="00E6404C">
        <w:rPr>
          <w:rFonts w:ascii="Times New Roman" w:eastAsia="Times New Roman" w:hAnsi="Times New Roman" w:cs="Times New Roman"/>
          <w:szCs w:val="24"/>
        </w:rPr>
        <w:t xml:space="preserve"> to determine that school assignments are not part of state-enforced segregation. </w:t>
      </w:r>
    </w:p>
    <w:p w14:paraId="735E9C86"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proofErr w:type="gramStart"/>
      <w:r w:rsidRPr="00E6404C">
        <w:rPr>
          <w:rFonts w:ascii="Times New Roman" w:eastAsia="Times New Roman" w:hAnsi="Times New Roman" w:cs="Times New Roman"/>
          <w:szCs w:val="24"/>
        </w:rPr>
        <w:t>In light of</w:t>
      </w:r>
      <w:proofErr w:type="gramEnd"/>
      <w:r w:rsidRPr="00E6404C">
        <w:rPr>
          <w:rFonts w:ascii="Times New Roman" w:eastAsia="Times New Roman" w:hAnsi="Times New Roman" w:cs="Times New Roman"/>
          <w:szCs w:val="24"/>
        </w:rPr>
        <w:t xml:space="preserve"> the above, it should be clear that the existence of some small number of one-race, or virtually one-race, schools within a district is not in and of itself the mark of a system that still practices segregation by law. The district judge or school authorities should make every effort to achieve the greatest possible degree of actual desegregation and will thus necessarily be concerned with the elimination of one-race schools. No per se rule can adequately embrace all the difficulties of reconciling the competing interests involved; but in a system with a history of segregation the need for remedial criteria of sufficient specificity to assure a school authority's compliance with its constitutional duty warrants a presumption against schools that are substantially disproportionate in their racial composition. Where the school authority's proposed plan for conversion from a dual to a unitary system contemplates the continued existence of some schools that are all or predominately of one race, they have the burden of showing that such school assignments are genuinely nondiscriminatory. The court should scrutinize such schools, and the burden upon the school authorities will be to satisfy the court that their racial composition is not the result of present or past discriminatory action on their part. </w:t>
      </w:r>
    </w:p>
    <w:p w14:paraId="0FA7C65B"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An optional majority-to-minority transfer provision has long been recognized as a useful part of every desegregation plan. Provision for optional transfer of those in the majority racial group of a particular school to other schools where they will be in the minority is an indispensable remedy for those students willing to transfer to other schools </w:t>
      </w:r>
      <w:proofErr w:type="gramStart"/>
      <w:r w:rsidRPr="00E6404C">
        <w:rPr>
          <w:rFonts w:ascii="Times New Roman" w:eastAsia="Times New Roman" w:hAnsi="Times New Roman" w:cs="Times New Roman"/>
          <w:szCs w:val="24"/>
        </w:rPr>
        <w:t>in order to</w:t>
      </w:r>
      <w:proofErr w:type="gramEnd"/>
      <w:r w:rsidRPr="00E6404C">
        <w:rPr>
          <w:rFonts w:ascii="Times New Roman" w:eastAsia="Times New Roman" w:hAnsi="Times New Roman" w:cs="Times New Roman"/>
          <w:szCs w:val="24"/>
        </w:rPr>
        <w:t xml:space="preserve"> lessen the impact on them of the state-imposed stigma of segregation. </w:t>
      </w:r>
      <w:proofErr w:type="gramStart"/>
      <w:r w:rsidRPr="00E6404C">
        <w:rPr>
          <w:rFonts w:ascii="Times New Roman" w:eastAsia="Times New Roman" w:hAnsi="Times New Roman" w:cs="Times New Roman"/>
          <w:szCs w:val="24"/>
        </w:rPr>
        <w:t>In order to</w:t>
      </w:r>
      <w:proofErr w:type="gramEnd"/>
      <w:r w:rsidRPr="00E6404C">
        <w:rPr>
          <w:rFonts w:ascii="Times New Roman" w:eastAsia="Times New Roman" w:hAnsi="Times New Roman" w:cs="Times New Roman"/>
          <w:szCs w:val="24"/>
        </w:rPr>
        <w:t xml:space="preserve"> be effective, such a transfer arrangement must grant </w:t>
      </w:r>
      <w:bookmarkStart w:id="28" w:name="27"/>
      <w:r w:rsidRPr="00E6404C">
        <w:rPr>
          <w:rFonts w:ascii="Times New Roman" w:eastAsia="Times New Roman" w:hAnsi="Times New Roman" w:cs="Times New Roman"/>
          <w:color w:val="005500"/>
          <w:sz w:val="20"/>
          <w:szCs w:val="20"/>
        </w:rPr>
        <w:t xml:space="preserve">[402 U.S. 1, 27] </w:t>
      </w:r>
      <w:bookmarkEnd w:id="28"/>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the transferring student free transportation and space must be made </w:t>
      </w:r>
      <w:r w:rsidRPr="00E6404C">
        <w:rPr>
          <w:rFonts w:ascii="Times New Roman" w:eastAsia="Times New Roman" w:hAnsi="Times New Roman" w:cs="Times New Roman"/>
          <w:szCs w:val="24"/>
        </w:rPr>
        <w:lastRenderedPageBreak/>
        <w:t xml:space="preserve">available in the school to which he desires to move. Cf. Ellis v. Board of Public Instruction, 423 </w:t>
      </w:r>
      <w:proofErr w:type="spellStart"/>
      <w:r w:rsidRPr="00E6404C">
        <w:rPr>
          <w:rFonts w:ascii="Times New Roman" w:eastAsia="Times New Roman" w:hAnsi="Times New Roman" w:cs="Times New Roman"/>
          <w:szCs w:val="24"/>
        </w:rPr>
        <w:t>F.2d</w:t>
      </w:r>
      <w:proofErr w:type="spellEnd"/>
      <w:r w:rsidRPr="00E6404C">
        <w:rPr>
          <w:rFonts w:ascii="Times New Roman" w:eastAsia="Times New Roman" w:hAnsi="Times New Roman" w:cs="Times New Roman"/>
          <w:szCs w:val="24"/>
        </w:rPr>
        <w:t xml:space="preserve"> 203, 206 (</w:t>
      </w:r>
      <w:proofErr w:type="spellStart"/>
      <w:r w:rsidRPr="00E6404C">
        <w:rPr>
          <w:rFonts w:ascii="Times New Roman" w:eastAsia="Times New Roman" w:hAnsi="Times New Roman" w:cs="Times New Roman"/>
          <w:szCs w:val="24"/>
        </w:rPr>
        <w:t>CA5</w:t>
      </w:r>
      <w:proofErr w:type="spellEnd"/>
      <w:r w:rsidRPr="00E6404C">
        <w:rPr>
          <w:rFonts w:ascii="Times New Roman" w:eastAsia="Times New Roman" w:hAnsi="Times New Roman" w:cs="Times New Roman"/>
          <w:szCs w:val="24"/>
        </w:rPr>
        <w:t xml:space="preserve"> 1970). The court orders in this and the companion Davis case now provide such an option. </w:t>
      </w:r>
    </w:p>
    <w:p w14:paraId="32714655"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(3) Remedial Altering of Attendance Zones. </w:t>
      </w:r>
    </w:p>
    <w:p w14:paraId="3EA40A57"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maps submitted in these cases graphically demonstrate that one of the principal tools employed by school planners and by courts to break up the dual school system has been a frank - and sometimes drastic - gerrymandering of school districts and attendance zones. An additional step was pairing, "clustering," or "grouping" of schools with attendance assignments made deliberately to accomplish the transfer of Negro students out of formerly segregated Negro schools and transfer of white students to formerly all-Negro schools. More often than not, these zones are neither compact </w:t>
      </w:r>
      <w:bookmarkStart w:id="29" w:name="t10"/>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"f10"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10 </w:t>
      </w:r>
      <w:r w:rsidRPr="00E6404C">
        <w:rPr>
          <w:rFonts w:ascii="Times New Roman" w:eastAsia="Times New Roman" w:hAnsi="Times New Roman" w:cs="Times New Roman"/>
          <w:szCs w:val="24"/>
        </w:rPr>
        <w:fldChar w:fldCharType="end"/>
      </w:r>
      <w:bookmarkEnd w:id="29"/>
      <w:r w:rsidRPr="00E6404C">
        <w:rPr>
          <w:rFonts w:ascii="Times New Roman" w:eastAsia="Times New Roman" w:hAnsi="Times New Roman" w:cs="Times New Roman"/>
          <w:szCs w:val="24"/>
        </w:rPr>
        <w:t xml:space="preserve">nor contiguous; </w:t>
      </w:r>
      <w:proofErr w:type="gramStart"/>
      <w:r w:rsidRPr="00E6404C">
        <w:rPr>
          <w:rFonts w:ascii="Times New Roman" w:eastAsia="Times New Roman" w:hAnsi="Times New Roman" w:cs="Times New Roman"/>
          <w:szCs w:val="24"/>
        </w:rPr>
        <w:t>indeed</w:t>
      </w:r>
      <w:proofErr w:type="gramEnd"/>
      <w:r w:rsidRPr="00E6404C">
        <w:rPr>
          <w:rFonts w:ascii="Times New Roman" w:eastAsia="Times New Roman" w:hAnsi="Times New Roman" w:cs="Times New Roman"/>
          <w:szCs w:val="24"/>
        </w:rPr>
        <w:t xml:space="preserve"> they may be on opposite ends of the city. As an interim corrective measure, this cannot be said to be beyond the broad remedial powers of a court. </w:t>
      </w:r>
      <w:bookmarkStart w:id="30" w:name="28"/>
      <w:r w:rsidRPr="00E6404C">
        <w:rPr>
          <w:rFonts w:ascii="Times New Roman" w:eastAsia="Times New Roman" w:hAnsi="Times New Roman" w:cs="Times New Roman"/>
          <w:color w:val="005500"/>
          <w:sz w:val="20"/>
          <w:szCs w:val="20"/>
        </w:rPr>
        <w:t xml:space="preserve">[402 U.S. 1, 28] </w:t>
      </w:r>
      <w:bookmarkEnd w:id="30"/>
      <w:r w:rsidRPr="00E6404C">
        <w:rPr>
          <w:rFonts w:ascii="Times New Roman" w:eastAsia="Times New Roman" w:hAnsi="Times New Roman" w:cs="Times New Roman"/>
          <w:color w:val="005500"/>
          <w:sz w:val="20"/>
          <w:szCs w:val="20"/>
        </w:rPr>
        <w:t xml:space="preserve">  </w:t>
      </w:r>
    </w:p>
    <w:p w14:paraId="362D6ED1"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Absent a constitutional violation there would be no basis for judicially ordering assignment of students on a racial basis. All things being equal, with no history of discrimination, it might well be desirable to assign pupils to schools nearest their homes. But all things are not equal in a system that has been deliberately constructed and maintained to enforce racial segregation. The remedy for such segregation may be administratively awkward, inconvenient, and even bizarre in some situations and may impose burdens on some; but all awkwardness and inconvenience cannot be avoided in the interim period when remedial adjustments are being made to eliminate the dual school systems. </w:t>
      </w:r>
    </w:p>
    <w:p w14:paraId="08011F25"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No fixed or even substantially fixed guidelines can be established as to how far a court can go, but it must be recognized that there are limits. The objective is to dismantle the dual school system. "Racially neutral" assignment plans proposed by school authorities to a district court may be inadequate; such plans may fail to counteract the continuing effects of past school segregation resulting from discriminatory location of school sites or distortion of school size </w:t>
      </w:r>
      <w:proofErr w:type="gramStart"/>
      <w:r w:rsidRPr="00E6404C">
        <w:rPr>
          <w:rFonts w:ascii="Times New Roman" w:eastAsia="Times New Roman" w:hAnsi="Times New Roman" w:cs="Times New Roman"/>
          <w:szCs w:val="24"/>
        </w:rPr>
        <w:t>in order to</w:t>
      </w:r>
      <w:proofErr w:type="gramEnd"/>
      <w:r w:rsidRPr="00E6404C">
        <w:rPr>
          <w:rFonts w:ascii="Times New Roman" w:eastAsia="Times New Roman" w:hAnsi="Times New Roman" w:cs="Times New Roman"/>
          <w:szCs w:val="24"/>
        </w:rPr>
        <w:t xml:space="preserve"> achieve or maintain an artificial racial separation. When school authorities present a district court with a "loaded game board," affirmative action in the form of remedial altering of attendance zones is proper to achieve truly nondiscriminatory assignments. In short, an assignment plan is not acceptable simply because it appears to be neutral. </w:t>
      </w:r>
    </w:p>
    <w:p w14:paraId="2E149267"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In this area, we </w:t>
      </w:r>
      <w:proofErr w:type="gramStart"/>
      <w:r w:rsidRPr="00E6404C">
        <w:rPr>
          <w:rFonts w:ascii="Times New Roman" w:eastAsia="Times New Roman" w:hAnsi="Times New Roman" w:cs="Times New Roman"/>
          <w:szCs w:val="24"/>
        </w:rPr>
        <w:t>must of necessity</w:t>
      </w:r>
      <w:proofErr w:type="gramEnd"/>
      <w:r w:rsidRPr="00E6404C">
        <w:rPr>
          <w:rFonts w:ascii="Times New Roman" w:eastAsia="Times New Roman" w:hAnsi="Times New Roman" w:cs="Times New Roman"/>
          <w:szCs w:val="24"/>
        </w:rPr>
        <w:t xml:space="preserve"> rely to a large extent, as this Court has for more than 16 years, on the informed judgment of the district courts in the first instance and on courts of appeals. </w:t>
      </w:r>
    </w:p>
    <w:p w14:paraId="66414997"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We hold that the pairing and grouping of noncontiguous school zones is a permissible tool and such action is to be considered </w:t>
      </w:r>
      <w:proofErr w:type="gramStart"/>
      <w:r w:rsidRPr="00E6404C">
        <w:rPr>
          <w:rFonts w:ascii="Times New Roman" w:eastAsia="Times New Roman" w:hAnsi="Times New Roman" w:cs="Times New Roman"/>
          <w:szCs w:val="24"/>
        </w:rPr>
        <w:t>in light of</w:t>
      </w:r>
      <w:proofErr w:type="gramEnd"/>
      <w:r w:rsidRPr="00E6404C">
        <w:rPr>
          <w:rFonts w:ascii="Times New Roman" w:eastAsia="Times New Roman" w:hAnsi="Times New Roman" w:cs="Times New Roman"/>
          <w:szCs w:val="24"/>
        </w:rPr>
        <w:t xml:space="preserve"> the objectives sought. Judicial </w:t>
      </w:r>
      <w:bookmarkStart w:id="31" w:name="29"/>
      <w:r w:rsidRPr="00E6404C">
        <w:rPr>
          <w:rFonts w:ascii="Times New Roman" w:eastAsia="Times New Roman" w:hAnsi="Times New Roman" w:cs="Times New Roman"/>
          <w:color w:val="005500"/>
          <w:sz w:val="20"/>
          <w:szCs w:val="20"/>
        </w:rPr>
        <w:t xml:space="preserve">[402 U.S. 1, 29] </w:t>
      </w:r>
      <w:bookmarkEnd w:id="31"/>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steps in shaping such zones going beyond combinations of contiguous areas should be examined </w:t>
      </w:r>
      <w:proofErr w:type="gramStart"/>
      <w:r w:rsidRPr="00E6404C">
        <w:rPr>
          <w:rFonts w:ascii="Times New Roman" w:eastAsia="Times New Roman" w:hAnsi="Times New Roman" w:cs="Times New Roman"/>
          <w:szCs w:val="24"/>
        </w:rPr>
        <w:t>in light of</w:t>
      </w:r>
      <w:proofErr w:type="gramEnd"/>
      <w:r w:rsidRPr="00E6404C">
        <w:rPr>
          <w:rFonts w:ascii="Times New Roman" w:eastAsia="Times New Roman" w:hAnsi="Times New Roman" w:cs="Times New Roman"/>
          <w:szCs w:val="24"/>
        </w:rPr>
        <w:t xml:space="preserve"> what is said in subdivisions (1), (2), and (3) of this opinion concerning the objectives to be sought. Maps do not tell the whole story since noncontiguous school zones may be more accessible to each other in terms of the critical travel time, because of traffic patterns and good highways, than schools geographically closer together. Conditions in different localities will vary so widely that no rigid rules can be laid down to govern all situations. </w:t>
      </w:r>
    </w:p>
    <w:p w14:paraId="71B10D54"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lastRenderedPageBreak/>
        <w:t xml:space="preserve">(4) Transportation of Students. </w:t>
      </w:r>
    </w:p>
    <w:p w14:paraId="305949CD"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scope of permissible transportation of students as an implement of a remedial decree has never been defined by this Court and by the very nature of the problem it cannot be defined with precision. No rigid guidelines as to student transportation can be given for application to the infinite variety of problems presented in thousands of situations. Bus transportation has been an integral part of the public education system for </w:t>
      </w:r>
      <w:proofErr w:type="gramStart"/>
      <w:r w:rsidRPr="00E6404C">
        <w:rPr>
          <w:rFonts w:ascii="Times New Roman" w:eastAsia="Times New Roman" w:hAnsi="Times New Roman" w:cs="Times New Roman"/>
          <w:szCs w:val="24"/>
        </w:rPr>
        <w:t>years, and</w:t>
      </w:r>
      <w:proofErr w:type="gramEnd"/>
      <w:r w:rsidRPr="00E6404C">
        <w:rPr>
          <w:rFonts w:ascii="Times New Roman" w:eastAsia="Times New Roman" w:hAnsi="Times New Roman" w:cs="Times New Roman"/>
          <w:szCs w:val="24"/>
        </w:rPr>
        <w:t xml:space="preserve"> was perhaps the single most important factor in the transition from the one-room schoolhouse to the consolidated school. Eighteen million of the Nation's </w:t>
      </w:r>
      <w:proofErr w:type="gramStart"/>
      <w:r w:rsidRPr="00E6404C">
        <w:rPr>
          <w:rFonts w:ascii="Times New Roman" w:eastAsia="Times New Roman" w:hAnsi="Times New Roman" w:cs="Times New Roman"/>
          <w:szCs w:val="24"/>
        </w:rPr>
        <w:t>public school</w:t>
      </w:r>
      <w:proofErr w:type="gramEnd"/>
      <w:r w:rsidRPr="00E6404C">
        <w:rPr>
          <w:rFonts w:ascii="Times New Roman" w:eastAsia="Times New Roman" w:hAnsi="Times New Roman" w:cs="Times New Roman"/>
          <w:szCs w:val="24"/>
        </w:rPr>
        <w:t xml:space="preserve"> children, approximately 39%, were transported to their schools by bus in 1969-1970 in all parts of the country. </w:t>
      </w:r>
    </w:p>
    <w:p w14:paraId="6C7101BB"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importance of bus transportation as a normal and accepted tool of educational policy is readily discernible in this and the companion case, Davis, supra. </w:t>
      </w:r>
      <w:bookmarkStart w:id="32" w:name="t11"/>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"f11"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11 </w:t>
      </w:r>
      <w:r w:rsidRPr="00E6404C">
        <w:rPr>
          <w:rFonts w:ascii="Times New Roman" w:eastAsia="Times New Roman" w:hAnsi="Times New Roman" w:cs="Times New Roman"/>
          <w:szCs w:val="24"/>
        </w:rPr>
        <w:fldChar w:fldCharType="end"/>
      </w:r>
      <w:bookmarkEnd w:id="32"/>
      <w:r w:rsidRPr="00E6404C">
        <w:rPr>
          <w:rFonts w:ascii="Times New Roman" w:eastAsia="Times New Roman" w:hAnsi="Times New Roman" w:cs="Times New Roman"/>
          <w:szCs w:val="24"/>
        </w:rPr>
        <w:t xml:space="preserve">The </w:t>
      </w:r>
      <w:bookmarkStart w:id="33" w:name="30"/>
      <w:r w:rsidRPr="00E6404C">
        <w:rPr>
          <w:rFonts w:ascii="Times New Roman" w:eastAsia="Times New Roman" w:hAnsi="Times New Roman" w:cs="Times New Roman"/>
          <w:color w:val="005500"/>
          <w:sz w:val="20"/>
          <w:szCs w:val="20"/>
        </w:rPr>
        <w:t xml:space="preserve">[402 U.S. 1, 30] </w:t>
      </w:r>
      <w:bookmarkEnd w:id="33"/>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Charlotte school authorities did not purport to assign students </w:t>
      </w:r>
      <w:proofErr w:type="gramStart"/>
      <w:r w:rsidRPr="00E6404C">
        <w:rPr>
          <w:rFonts w:ascii="Times New Roman" w:eastAsia="Times New Roman" w:hAnsi="Times New Roman" w:cs="Times New Roman"/>
          <w:szCs w:val="24"/>
        </w:rPr>
        <w:t>on the basis of</w:t>
      </w:r>
      <w:proofErr w:type="gramEnd"/>
      <w:r w:rsidRPr="00E6404C">
        <w:rPr>
          <w:rFonts w:ascii="Times New Roman" w:eastAsia="Times New Roman" w:hAnsi="Times New Roman" w:cs="Times New Roman"/>
          <w:szCs w:val="24"/>
        </w:rPr>
        <w:t xml:space="preserve"> geographically drawn zones until 1965 and then they allowed almost unlimited transfer privileges. The District Court's conclusion that assignment of children to the school nearest their home serving their grade would not produce an effective dismantling of the dual system is supported by the record. </w:t>
      </w:r>
    </w:p>
    <w:p w14:paraId="465C4EFB"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proofErr w:type="gramStart"/>
      <w:r w:rsidRPr="00E6404C">
        <w:rPr>
          <w:rFonts w:ascii="Times New Roman" w:eastAsia="Times New Roman" w:hAnsi="Times New Roman" w:cs="Times New Roman"/>
          <w:szCs w:val="24"/>
        </w:rPr>
        <w:t>Thus</w:t>
      </w:r>
      <w:proofErr w:type="gramEnd"/>
      <w:r w:rsidRPr="00E6404C">
        <w:rPr>
          <w:rFonts w:ascii="Times New Roman" w:eastAsia="Times New Roman" w:hAnsi="Times New Roman" w:cs="Times New Roman"/>
          <w:szCs w:val="24"/>
        </w:rPr>
        <w:t xml:space="preserve"> the remedial techniques used in the District Court's order were within that court's power to provide equitable relief; implementation of the decree is well within the capacity of the school authority. </w:t>
      </w:r>
    </w:p>
    <w:p w14:paraId="5E4ECA53"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decree provided that the buses used to implement the plan would operate on direct routes. Students would be picked up at schools near their homes and transported to the schools they were to attend. The trips for elementary school pupils average about seven miles and the District Court found that they would take "not over 35 minutes at the most." </w:t>
      </w:r>
      <w:bookmarkStart w:id="34" w:name="t12"/>
      <w:r w:rsidRPr="00E6404C">
        <w:rPr>
          <w:rFonts w:ascii="Times New Roman" w:eastAsia="Times New Roman" w:hAnsi="Times New Roman" w:cs="Times New Roman"/>
          <w:szCs w:val="24"/>
        </w:rPr>
        <w:fldChar w:fldCharType="begin"/>
      </w:r>
      <w:r w:rsidRPr="00E6404C">
        <w:rPr>
          <w:rFonts w:ascii="Times New Roman" w:eastAsia="Times New Roman" w:hAnsi="Times New Roman" w:cs="Times New Roman"/>
          <w:szCs w:val="24"/>
        </w:rPr>
        <w:instrText xml:space="preserve"> HYPERLINK "https://caselaw.findlaw.com/us-supreme-court/402/1.html" \l "f12" </w:instrText>
      </w:r>
      <w:r w:rsidRPr="00E6404C">
        <w:rPr>
          <w:rFonts w:ascii="Times New Roman" w:eastAsia="Times New Roman" w:hAnsi="Times New Roman" w:cs="Times New Roman"/>
          <w:szCs w:val="24"/>
        </w:rPr>
        <w:fldChar w:fldCharType="separate"/>
      </w:r>
      <w:r w:rsidRPr="00E6404C">
        <w:rPr>
          <w:rFonts w:ascii="Times New Roman" w:eastAsia="Times New Roman" w:hAnsi="Times New Roman" w:cs="Times New Roman"/>
          <w:color w:val="0000FF"/>
          <w:szCs w:val="24"/>
          <w:u w:val="single"/>
        </w:rPr>
        <w:t xml:space="preserve">12 </w:t>
      </w:r>
      <w:r w:rsidRPr="00E6404C">
        <w:rPr>
          <w:rFonts w:ascii="Times New Roman" w:eastAsia="Times New Roman" w:hAnsi="Times New Roman" w:cs="Times New Roman"/>
          <w:szCs w:val="24"/>
        </w:rPr>
        <w:fldChar w:fldCharType="end"/>
      </w:r>
      <w:bookmarkEnd w:id="34"/>
      <w:r w:rsidRPr="00E6404C">
        <w:rPr>
          <w:rFonts w:ascii="Times New Roman" w:eastAsia="Times New Roman" w:hAnsi="Times New Roman" w:cs="Times New Roman"/>
          <w:szCs w:val="24"/>
        </w:rPr>
        <w:t xml:space="preserve">This system compares favorably with the transportation plan previously operated in Charlotte under which each day 23,600 students on all grade levels were transported an average of 15 miles one way for an average trip requiring over an hour. In these circumstances, we find no basis for holding that the local school authorities may not be required to employ bus transportation as one tool of school desegregation. Desegregation plans cannot be limited to the walk-in school. </w:t>
      </w:r>
    </w:p>
    <w:p w14:paraId="0FB4B583"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An objection to transportation of students may have validity when the time or distance of travel is so great as to either risk the health of the children or significantly </w:t>
      </w:r>
      <w:bookmarkStart w:id="35" w:name="31"/>
      <w:r w:rsidRPr="00E6404C">
        <w:rPr>
          <w:rFonts w:ascii="Times New Roman" w:eastAsia="Times New Roman" w:hAnsi="Times New Roman" w:cs="Times New Roman"/>
          <w:color w:val="005500"/>
          <w:sz w:val="20"/>
          <w:szCs w:val="20"/>
        </w:rPr>
        <w:t xml:space="preserve">[402 U.S. 1, 31] </w:t>
      </w:r>
      <w:bookmarkEnd w:id="35"/>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impinge on the educational process. District courts must weigh the soundness of any transportation plan </w:t>
      </w:r>
      <w:proofErr w:type="gramStart"/>
      <w:r w:rsidRPr="00E6404C">
        <w:rPr>
          <w:rFonts w:ascii="Times New Roman" w:eastAsia="Times New Roman" w:hAnsi="Times New Roman" w:cs="Times New Roman"/>
          <w:szCs w:val="24"/>
        </w:rPr>
        <w:t>in light of</w:t>
      </w:r>
      <w:proofErr w:type="gramEnd"/>
      <w:r w:rsidRPr="00E6404C">
        <w:rPr>
          <w:rFonts w:ascii="Times New Roman" w:eastAsia="Times New Roman" w:hAnsi="Times New Roman" w:cs="Times New Roman"/>
          <w:szCs w:val="24"/>
        </w:rPr>
        <w:t xml:space="preserve"> what is said in subdivisions (1), (2), and (3) above. It hardly needs stating that the limits on time of travel will vary with many factors, but probably with none more than the age of the students. The reconciliation of competing values in a desegregation case is, of course, a difficult task with many sensitive facets but fundamentally no more so than remedial measures courts of equity have traditionally employed. </w:t>
      </w:r>
    </w:p>
    <w:p w14:paraId="22A41086" w14:textId="77777777" w:rsidR="00E6404C" w:rsidRPr="00E6404C" w:rsidRDefault="00E6404C" w:rsidP="00E6404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6404C">
        <w:rPr>
          <w:rFonts w:ascii="Times New Roman" w:eastAsia="Times New Roman" w:hAnsi="Times New Roman" w:cs="Times New Roman"/>
          <w:b/>
          <w:bCs/>
          <w:sz w:val="27"/>
          <w:szCs w:val="27"/>
        </w:rPr>
        <w:t xml:space="preserve">VI </w:t>
      </w:r>
    </w:p>
    <w:p w14:paraId="0B1AA56C"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Court of Appeals, searching for a term to define the equitable remedial power of the district courts, used the term "reasonableness." In Green, supra, this Court used the term "feasible" and by implication, "workable," "effective," and "realistic" in the mandate to develop "a plan that </w:t>
      </w:r>
      <w:r w:rsidRPr="00E6404C">
        <w:rPr>
          <w:rFonts w:ascii="Times New Roman" w:eastAsia="Times New Roman" w:hAnsi="Times New Roman" w:cs="Times New Roman"/>
          <w:szCs w:val="24"/>
        </w:rPr>
        <w:lastRenderedPageBreak/>
        <w:t xml:space="preserve">promises realistically to work, and . . . to work now." On the facts of this case, we are unable to conclude that the order of the District Court is not reasonable, feasible and workable. However, in seeking to define the scope of remedial power or the limits on remedial power of courts in an area as sensitive as we deal with here, words are poor instruments to convey the sense of basic fairness inherent in equity. Substance, not semantics, must govern, and we have sought to suggest the nature of limitations without frustrating the appropriate scope of equity. </w:t>
      </w:r>
    </w:p>
    <w:p w14:paraId="1848D151"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At some point, these school </w:t>
      </w:r>
      <w:proofErr w:type="gramStart"/>
      <w:r w:rsidRPr="00E6404C">
        <w:rPr>
          <w:rFonts w:ascii="Times New Roman" w:eastAsia="Times New Roman" w:hAnsi="Times New Roman" w:cs="Times New Roman"/>
          <w:szCs w:val="24"/>
        </w:rPr>
        <w:t>authorities</w:t>
      </w:r>
      <w:proofErr w:type="gramEnd"/>
      <w:r w:rsidRPr="00E6404C">
        <w:rPr>
          <w:rFonts w:ascii="Times New Roman" w:eastAsia="Times New Roman" w:hAnsi="Times New Roman" w:cs="Times New Roman"/>
          <w:szCs w:val="24"/>
        </w:rPr>
        <w:t xml:space="preserve"> and others like them should have achieved full compliance with this Court's decision in Brown I. The systems would then be "unitary" in the sense required by our decisions in Green and Alexander. </w:t>
      </w:r>
    </w:p>
    <w:p w14:paraId="3C92C2EE"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It does not follow that the communities served by such systems will remain demographically stable, for in a growing, mobile society, few will do so. Neither </w:t>
      </w:r>
      <w:bookmarkStart w:id="36" w:name="32"/>
      <w:r w:rsidRPr="00E6404C">
        <w:rPr>
          <w:rFonts w:ascii="Times New Roman" w:eastAsia="Times New Roman" w:hAnsi="Times New Roman" w:cs="Times New Roman"/>
          <w:color w:val="005500"/>
          <w:sz w:val="20"/>
          <w:szCs w:val="20"/>
        </w:rPr>
        <w:t xml:space="preserve">[402 U.S. 1, 32] </w:t>
      </w:r>
      <w:bookmarkEnd w:id="36"/>
      <w:r w:rsidRPr="00E6404C">
        <w:rPr>
          <w:rFonts w:ascii="Times New Roman" w:eastAsia="Times New Roman" w:hAnsi="Times New Roman" w:cs="Times New Roman"/>
          <w:color w:val="005500"/>
          <w:sz w:val="20"/>
          <w:szCs w:val="20"/>
        </w:rPr>
        <w:t xml:space="preserve">  </w:t>
      </w:r>
      <w:r w:rsidRPr="00E6404C">
        <w:rPr>
          <w:rFonts w:ascii="Times New Roman" w:eastAsia="Times New Roman" w:hAnsi="Times New Roman" w:cs="Times New Roman"/>
          <w:szCs w:val="24"/>
        </w:rPr>
        <w:t xml:space="preserve">school authorities nor district courts are constitutionally required to make year-by-year adjustments of the racial composition of student bodies once the affirmative duty to desegregate has been accomplished and racial discrimination through official action is eliminated from the system. This does not mean that federal courts are without power to deal with future problems; but in the absence of a showing that either the school authorities or some other agency of the State has deliberately attempted to fix or alter demographic patterns to affect the racial composition of the schools, further intervention by a district court should not be necessary. </w:t>
      </w:r>
    </w:p>
    <w:p w14:paraId="654CE845" w14:textId="77777777"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For the reasons herein set forth, the judgment of the Court of Appeals is affirmed as to those parts in which it affirmed the judgment of the District Court. The order of the District Court, dated August 7, 1970, is also affirmed. </w:t>
      </w:r>
    </w:p>
    <w:p w14:paraId="527787AA"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It is so ordered. </w:t>
      </w:r>
    </w:p>
    <w:p w14:paraId="7D6299F6" w14:textId="187A104C" w:rsidR="00E6404C" w:rsidRPr="00E6404C" w:rsidRDefault="00E6404C" w:rsidP="00E6404C">
      <w:pPr>
        <w:spacing w:before="100" w:beforeAutospacing="1" w:after="100" w:afterAutospacing="1" w:line="240" w:lineRule="auto"/>
        <w:rPr>
          <w:rFonts w:ascii="Times New Roman" w:eastAsia="Times New Roman" w:hAnsi="Times New Roman" w:cs="Times New Roman"/>
          <w:szCs w:val="24"/>
        </w:rPr>
      </w:pPr>
      <w:proofErr w:type="spellStart"/>
      <w:r w:rsidRPr="00E6404C">
        <w:rPr>
          <w:rFonts w:ascii="Times New Roman" w:eastAsia="Times New Roman" w:hAnsi="Times New Roman" w:cs="Times New Roman"/>
          <w:szCs w:val="24"/>
        </w:rPr>
        <w:t>ra</w:t>
      </w:r>
      <w:proofErr w:type="spellEnd"/>
      <w:r w:rsidRPr="00E6404C">
        <w:rPr>
          <w:rFonts w:ascii="Times New Roman" w:eastAsia="Times New Roman" w:hAnsi="Times New Roman" w:cs="Times New Roman"/>
          <w:szCs w:val="24"/>
        </w:rPr>
        <w:t xml:space="preserve">, at 439: </w:t>
      </w:r>
    </w:p>
    <w:p w14:paraId="4AB95D4A" w14:textId="77777777" w:rsidR="00E6404C" w:rsidRPr="00E6404C" w:rsidRDefault="00E6404C" w:rsidP="00E6404C">
      <w:pPr>
        <w:spacing w:after="0" w:line="240" w:lineRule="auto"/>
        <w:ind w:left="720"/>
        <w:rPr>
          <w:rFonts w:ascii="Times New Roman" w:eastAsia="Times New Roman" w:hAnsi="Times New Roman" w:cs="Times New Roman"/>
          <w:szCs w:val="24"/>
        </w:rPr>
      </w:pPr>
      <w:r w:rsidRPr="00E6404C">
        <w:rPr>
          <w:rFonts w:ascii="Times New Roman" w:eastAsia="Times New Roman" w:hAnsi="Times New Roman" w:cs="Times New Roman"/>
          <w:szCs w:val="24"/>
        </w:rPr>
        <w:t xml:space="preserve">"The obligation of the district courts, as it always has been, is to assess the effectiveness of a proposed plan in achieving desegregation. There is no universal answer to complex problems of desegregation; there is obviously no one plan that will do the job in every case. The matter must be assessed in light of the circumstances present and the options available in each instance." </w:t>
      </w:r>
    </w:p>
    <w:sectPr w:rsidR="00E6404C" w:rsidRPr="00E6404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999A" w14:textId="77777777" w:rsidR="006B4909" w:rsidRDefault="006B4909" w:rsidP="00E6404C">
      <w:pPr>
        <w:spacing w:after="0" w:line="240" w:lineRule="auto"/>
      </w:pPr>
      <w:r>
        <w:separator/>
      </w:r>
    </w:p>
  </w:endnote>
  <w:endnote w:type="continuationSeparator" w:id="0">
    <w:p w14:paraId="37D2999F" w14:textId="77777777" w:rsidR="006B4909" w:rsidRDefault="006B4909" w:rsidP="00E6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9677"/>
      <w:docPartObj>
        <w:docPartGallery w:val="Page Numbers (Bottom of Page)"/>
        <w:docPartUnique/>
      </w:docPartObj>
    </w:sdtPr>
    <w:sdtEndPr>
      <w:rPr>
        <w:noProof/>
      </w:rPr>
    </w:sdtEndPr>
    <w:sdtContent>
      <w:p w14:paraId="56C60AA4" w14:textId="52A0CF18" w:rsidR="00E6404C" w:rsidRDefault="00E640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A6C9F" w14:textId="77777777" w:rsidR="00E6404C" w:rsidRDefault="00E6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FAFC" w14:textId="77777777" w:rsidR="006B4909" w:rsidRDefault="006B4909" w:rsidP="00E6404C">
      <w:pPr>
        <w:spacing w:after="0" w:line="240" w:lineRule="auto"/>
      </w:pPr>
      <w:r>
        <w:separator/>
      </w:r>
    </w:p>
  </w:footnote>
  <w:footnote w:type="continuationSeparator" w:id="0">
    <w:p w14:paraId="21511378" w14:textId="77777777" w:rsidR="006B4909" w:rsidRDefault="006B4909" w:rsidP="00E64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4C"/>
    <w:rsid w:val="006B4909"/>
    <w:rsid w:val="008138AF"/>
    <w:rsid w:val="00E6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2D16"/>
  <w15:chartTrackingRefBased/>
  <w15:docId w15:val="{51F46100-DF21-4153-ADC0-7AE2B0C7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4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40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0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40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404C"/>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E6404C"/>
  </w:style>
  <w:style w:type="character" w:styleId="Hyperlink">
    <w:name w:val="Hyperlink"/>
    <w:basedOn w:val="DefaultParagraphFont"/>
    <w:uiPriority w:val="99"/>
    <w:semiHidden/>
    <w:unhideWhenUsed/>
    <w:rsid w:val="00E6404C"/>
    <w:rPr>
      <w:color w:val="0000FF"/>
      <w:u w:val="single"/>
    </w:rPr>
  </w:style>
  <w:style w:type="paragraph" w:styleId="z-TopofForm">
    <w:name w:val="HTML Top of Form"/>
    <w:basedOn w:val="Normal"/>
    <w:next w:val="Normal"/>
    <w:link w:val="z-TopofFormChar"/>
    <w:hidden/>
    <w:uiPriority w:val="99"/>
    <w:semiHidden/>
    <w:unhideWhenUsed/>
    <w:rsid w:val="00E6404C"/>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E6404C"/>
    <w:rPr>
      <w:rFonts w:eastAsia="Times New Roman"/>
      <w:vanish/>
      <w:sz w:val="16"/>
      <w:szCs w:val="16"/>
    </w:rPr>
  </w:style>
  <w:style w:type="paragraph" w:customStyle="1" w:styleId="newsletter-heading-small-title">
    <w:name w:val="newsletter-heading-small-title"/>
    <w:basedOn w:val="Normal"/>
    <w:rsid w:val="00E6404C"/>
    <w:pPr>
      <w:spacing w:before="100" w:beforeAutospacing="1" w:after="100" w:afterAutospacing="1" w:line="240" w:lineRule="auto"/>
    </w:pPr>
    <w:rPr>
      <w:rFonts w:ascii="Times New Roman" w:eastAsia="Times New Roman" w:hAnsi="Times New Roman" w:cs="Times New Roman"/>
      <w:szCs w:val="24"/>
    </w:rPr>
  </w:style>
  <w:style w:type="character" w:customStyle="1" w:styleId="newsletter-heading-title">
    <w:name w:val="newsletter-heading-title"/>
    <w:basedOn w:val="DefaultParagraphFont"/>
    <w:rsid w:val="00E6404C"/>
  </w:style>
  <w:style w:type="paragraph" w:styleId="z-BottomofForm">
    <w:name w:val="HTML Bottom of Form"/>
    <w:basedOn w:val="Normal"/>
    <w:next w:val="Normal"/>
    <w:link w:val="z-BottomofFormChar"/>
    <w:hidden/>
    <w:uiPriority w:val="99"/>
    <w:semiHidden/>
    <w:unhideWhenUsed/>
    <w:rsid w:val="00E6404C"/>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E6404C"/>
    <w:rPr>
      <w:rFonts w:eastAsia="Times New Roman"/>
      <w:vanish/>
      <w:sz w:val="16"/>
      <w:szCs w:val="16"/>
    </w:rPr>
  </w:style>
  <w:style w:type="paragraph" w:styleId="Header">
    <w:name w:val="header"/>
    <w:basedOn w:val="Normal"/>
    <w:link w:val="HeaderChar"/>
    <w:uiPriority w:val="99"/>
    <w:unhideWhenUsed/>
    <w:rsid w:val="00E6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4C"/>
  </w:style>
  <w:style w:type="paragraph" w:styleId="Footer">
    <w:name w:val="footer"/>
    <w:basedOn w:val="Normal"/>
    <w:link w:val="FooterChar"/>
    <w:uiPriority w:val="99"/>
    <w:unhideWhenUsed/>
    <w:rsid w:val="00E6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5590">
      <w:bodyDiv w:val="1"/>
      <w:marLeft w:val="0"/>
      <w:marRight w:val="0"/>
      <w:marTop w:val="0"/>
      <w:marBottom w:val="0"/>
      <w:divBdr>
        <w:top w:val="none" w:sz="0" w:space="0" w:color="auto"/>
        <w:left w:val="none" w:sz="0" w:space="0" w:color="auto"/>
        <w:bottom w:val="none" w:sz="0" w:space="0" w:color="auto"/>
        <w:right w:val="none" w:sz="0" w:space="0" w:color="auto"/>
      </w:divBdr>
      <w:divsChild>
        <w:div w:id="570041079">
          <w:marLeft w:val="0"/>
          <w:marRight w:val="0"/>
          <w:marTop w:val="0"/>
          <w:marBottom w:val="0"/>
          <w:divBdr>
            <w:top w:val="none" w:sz="0" w:space="0" w:color="auto"/>
            <w:left w:val="none" w:sz="0" w:space="0" w:color="auto"/>
            <w:bottom w:val="none" w:sz="0" w:space="0" w:color="auto"/>
            <w:right w:val="none" w:sz="0" w:space="0" w:color="auto"/>
          </w:divBdr>
          <w:divsChild>
            <w:div w:id="1384406320">
              <w:marLeft w:val="0"/>
              <w:marRight w:val="0"/>
              <w:marTop w:val="0"/>
              <w:marBottom w:val="0"/>
              <w:divBdr>
                <w:top w:val="none" w:sz="0" w:space="0" w:color="auto"/>
                <w:left w:val="none" w:sz="0" w:space="0" w:color="auto"/>
                <w:bottom w:val="none" w:sz="0" w:space="0" w:color="auto"/>
                <w:right w:val="none" w:sz="0" w:space="0" w:color="auto"/>
              </w:divBdr>
            </w:div>
          </w:divsChild>
        </w:div>
        <w:div w:id="998114427">
          <w:marLeft w:val="0"/>
          <w:marRight w:val="0"/>
          <w:marTop w:val="0"/>
          <w:marBottom w:val="0"/>
          <w:divBdr>
            <w:top w:val="none" w:sz="0" w:space="0" w:color="auto"/>
            <w:left w:val="none" w:sz="0" w:space="0" w:color="auto"/>
            <w:bottom w:val="none" w:sz="0" w:space="0" w:color="auto"/>
            <w:right w:val="none" w:sz="0" w:space="0" w:color="auto"/>
          </w:divBdr>
          <w:divsChild>
            <w:div w:id="917639861">
              <w:marLeft w:val="0"/>
              <w:marRight w:val="0"/>
              <w:marTop w:val="0"/>
              <w:marBottom w:val="0"/>
              <w:divBdr>
                <w:top w:val="none" w:sz="0" w:space="0" w:color="auto"/>
                <w:left w:val="none" w:sz="0" w:space="0" w:color="auto"/>
                <w:bottom w:val="none" w:sz="0" w:space="0" w:color="auto"/>
                <w:right w:val="none" w:sz="0" w:space="0" w:color="auto"/>
              </w:divBdr>
              <w:divsChild>
                <w:div w:id="1737891867">
                  <w:marLeft w:val="0"/>
                  <w:marRight w:val="0"/>
                  <w:marTop w:val="0"/>
                  <w:marBottom w:val="0"/>
                  <w:divBdr>
                    <w:top w:val="none" w:sz="0" w:space="0" w:color="auto"/>
                    <w:left w:val="none" w:sz="0" w:space="0" w:color="auto"/>
                    <w:bottom w:val="none" w:sz="0" w:space="0" w:color="auto"/>
                    <w:right w:val="none" w:sz="0" w:space="0" w:color="auto"/>
                  </w:divBdr>
                  <w:divsChild>
                    <w:div w:id="16735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6464">
          <w:marLeft w:val="0"/>
          <w:marRight w:val="0"/>
          <w:marTop w:val="0"/>
          <w:marBottom w:val="0"/>
          <w:divBdr>
            <w:top w:val="none" w:sz="0" w:space="0" w:color="auto"/>
            <w:left w:val="none" w:sz="0" w:space="0" w:color="auto"/>
            <w:bottom w:val="none" w:sz="0" w:space="0" w:color="auto"/>
            <w:right w:val="none" w:sz="0" w:space="0" w:color="auto"/>
          </w:divBdr>
          <w:divsChild>
            <w:div w:id="712078296">
              <w:marLeft w:val="0"/>
              <w:marRight w:val="0"/>
              <w:marTop w:val="0"/>
              <w:marBottom w:val="0"/>
              <w:divBdr>
                <w:top w:val="none" w:sz="0" w:space="0" w:color="auto"/>
                <w:left w:val="none" w:sz="0" w:space="0" w:color="auto"/>
                <w:bottom w:val="none" w:sz="0" w:space="0" w:color="auto"/>
                <w:right w:val="none" w:sz="0" w:space="0" w:color="auto"/>
              </w:divBdr>
              <w:divsChild>
                <w:div w:id="1253705966">
                  <w:marLeft w:val="0"/>
                  <w:marRight w:val="0"/>
                  <w:marTop w:val="0"/>
                  <w:marBottom w:val="0"/>
                  <w:divBdr>
                    <w:top w:val="none" w:sz="0" w:space="0" w:color="auto"/>
                    <w:left w:val="none" w:sz="0" w:space="0" w:color="auto"/>
                    <w:bottom w:val="none" w:sz="0" w:space="0" w:color="auto"/>
                    <w:right w:val="none" w:sz="0" w:space="0" w:color="auto"/>
                  </w:divBdr>
                  <w:divsChild>
                    <w:div w:id="1199929434">
                      <w:marLeft w:val="0"/>
                      <w:marRight w:val="0"/>
                      <w:marTop w:val="0"/>
                      <w:marBottom w:val="0"/>
                      <w:divBdr>
                        <w:top w:val="none" w:sz="0" w:space="0" w:color="auto"/>
                        <w:left w:val="none" w:sz="0" w:space="0" w:color="auto"/>
                        <w:bottom w:val="none" w:sz="0" w:space="0" w:color="auto"/>
                        <w:right w:val="none" w:sz="0" w:space="0" w:color="auto"/>
                      </w:divBdr>
                      <w:divsChild>
                        <w:div w:id="1752656355">
                          <w:marLeft w:val="0"/>
                          <w:marRight w:val="0"/>
                          <w:marTop w:val="0"/>
                          <w:marBottom w:val="0"/>
                          <w:divBdr>
                            <w:top w:val="none" w:sz="0" w:space="0" w:color="auto"/>
                            <w:left w:val="none" w:sz="0" w:space="0" w:color="auto"/>
                            <w:bottom w:val="none" w:sz="0" w:space="0" w:color="auto"/>
                            <w:right w:val="none" w:sz="0" w:space="0" w:color="auto"/>
                          </w:divBdr>
                          <w:divsChild>
                            <w:div w:id="639115709">
                              <w:marLeft w:val="0"/>
                              <w:marRight w:val="0"/>
                              <w:marTop w:val="0"/>
                              <w:marBottom w:val="0"/>
                              <w:divBdr>
                                <w:top w:val="none" w:sz="0" w:space="0" w:color="auto"/>
                                <w:left w:val="none" w:sz="0" w:space="0" w:color="auto"/>
                                <w:bottom w:val="none" w:sz="0" w:space="0" w:color="auto"/>
                                <w:right w:val="none" w:sz="0" w:space="0" w:color="auto"/>
                              </w:divBdr>
                              <w:divsChild>
                                <w:div w:id="2073890201">
                                  <w:marLeft w:val="0"/>
                                  <w:marRight w:val="0"/>
                                  <w:marTop w:val="0"/>
                                  <w:marBottom w:val="0"/>
                                  <w:divBdr>
                                    <w:top w:val="none" w:sz="0" w:space="0" w:color="auto"/>
                                    <w:left w:val="none" w:sz="0" w:space="0" w:color="auto"/>
                                    <w:bottom w:val="none" w:sz="0" w:space="0" w:color="auto"/>
                                    <w:right w:val="none" w:sz="0" w:space="0" w:color="auto"/>
                                  </w:divBdr>
                                  <w:divsChild>
                                    <w:div w:id="793596143">
                                      <w:marLeft w:val="0"/>
                                      <w:marRight w:val="0"/>
                                      <w:marTop w:val="0"/>
                                      <w:marBottom w:val="0"/>
                                      <w:divBdr>
                                        <w:top w:val="none" w:sz="0" w:space="0" w:color="auto"/>
                                        <w:left w:val="none" w:sz="0" w:space="0" w:color="auto"/>
                                        <w:bottom w:val="none" w:sz="0" w:space="0" w:color="auto"/>
                                        <w:right w:val="none" w:sz="0" w:space="0" w:color="auto"/>
                                      </w:divBdr>
                                      <w:divsChild>
                                        <w:div w:id="21263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6993</Words>
  <Characters>39866</Characters>
  <Application>Microsoft Office Word</Application>
  <DocSecurity>0</DocSecurity>
  <Lines>332</Lines>
  <Paragraphs>93</Paragraphs>
  <ScaleCrop>false</ScaleCrop>
  <Company/>
  <LinksUpToDate>false</LinksUpToDate>
  <CharactersWithSpaces>46766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2022-04-08T05:01:00Z</dcterms:created>
  <dcterms:modified xsi:type="dcterms:W3CDTF">2022-04-08T05:07:00Z</dcterms:modified>
</cp:coreProperties>
</file>