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7C432" w14:textId="77777777" w:rsidR="007231FF" w:rsidRDefault="00000000">
      <w:pPr>
        <w:pStyle w:val="Heading1"/>
      </w:pPr>
      <w:r>
        <w:rPr>
          <w:sz w:val="24"/>
        </w:rPr>
        <w:t>Brief</w:t>
      </w:r>
      <w:r>
        <w:rPr>
          <w:rFonts w:ascii="Century" w:eastAsia="Century" w:hAnsi="Century" w:cs="Century"/>
          <w:sz w:val="24"/>
        </w:rPr>
        <w:t xml:space="preserve"> </w:t>
      </w:r>
      <w:r>
        <w:rPr>
          <w:sz w:val="24"/>
        </w:rPr>
        <w:t>of</w:t>
      </w:r>
      <w:r>
        <w:rPr>
          <w:rFonts w:ascii="Century" w:eastAsia="Century" w:hAnsi="Century" w:cs="Century"/>
          <w:sz w:val="24"/>
        </w:rPr>
        <w:t xml:space="preserve"> </w:t>
      </w:r>
      <w:r>
        <w:t>Chiaverini</w:t>
      </w:r>
      <w:r>
        <w:rPr>
          <w:rFonts w:ascii="Century" w:eastAsia="Century" w:hAnsi="Century" w:cs="Century"/>
        </w:rPr>
        <w:t xml:space="preserve"> </w:t>
      </w:r>
      <w:r>
        <w:t>v.</w:t>
      </w:r>
      <w:r>
        <w:rPr>
          <w:rFonts w:ascii="Century" w:eastAsia="Century" w:hAnsi="Century" w:cs="Century"/>
        </w:rPr>
        <w:t xml:space="preserve"> </w:t>
      </w:r>
      <w:r>
        <w:t>City</w:t>
      </w:r>
      <w:r>
        <w:rPr>
          <w:rFonts w:ascii="Century" w:eastAsia="Century" w:hAnsi="Century" w:cs="Century"/>
        </w:rPr>
        <w:t xml:space="preserve"> </w:t>
      </w:r>
      <w:r>
        <w:t>of</w:t>
      </w:r>
      <w:r>
        <w:rPr>
          <w:rFonts w:ascii="Century" w:eastAsia="Century" w:hAnsi="Century" w:cs="Century"/>
        </w:rPr>
        <w:t xml:space="preserve"> </w:t>
      </w:r>
      <w:r>
        <w:t>Napoleon</w:t>
      </w:r>
      <w:r>
        <w:rPr>
          <w:rFonts w:ascii="Century" w:eastAsia="Century" w:hAnsi="Century" w:cs="Century"/>
          <w:sz w:val="24"/>
        </w:rPr>
        <w:t xml:space="preserve"> </w:t>
      </w:r>
      <w:r>
        <w:rPr>
          <w:sz w:val="24"/>
        </w:rPr>
        <w:t>(2024)</w:t>
      </w:r>
      <w:r>
        <w:rPr>
          <w:rFonts w:ascii="Century" w:eastAsia="Century" w:hAnsi="Century" w:cs="Century"/>
          <w:sz w:val="24"/>
          <w:u w:val="none"/>
        </w:rPr>
        <w:t xml:space="preserve"> </w:t>
      </w:r>
    </w:p>
    <w:p w14:paraId="2C1EA3D5" w14:textId="77777777" w:rsidR="007231FF" w:rsidRDefault="00000000">
      <w:pPr>
        <w:spacing w:after="31" w:line="259" w:lineRule="auto"/>
        <w:ind w:left="19" w:firstLine="0"/>
      </w:pPr>
      <w:r>
        <w:t xml:space="preserve"> </w:t>
      </w:r>
    </w:p>
    <w:p w14:paraId="2E7FEAE9" w14:textId="77777777" w:rsidR="007231FF" w:rsidRDefault="00000000">
      <w:pPr>
        <w:spacing w:after="4"/>
        <w:ind w:left="19" w:firstLine="0"/>
      </w:pPr>
      <w:r>
        <w:rPr>
          <w:rFonts w:ascii="Calibri" w:eastAsia="Calibri" w:hAnsi="Calibri" w:cs="Calibri"/>
        </w:rPr>
        <w:t>Facts</w:t>
      </w:r>
      <w:r>
        <w:rPr>
          <w:rFonts w:ascii="Calibri" w:eastAsia="Calibri" w:hAnsi="Calibri" w:cs="Calibri"/>
          <w:color w:val="2D3B45"/>
          <w:sz w:val="37"/>
          <w:vertAlign w:val="superscript"/>
        </w:rPr>
        <w:t>:</w:t>
      </w:r>
      <w:r>
        <w:rPr>
          <w:color w:val="2D3B45"/>
        </w:rPr>
        <w:t xml:space="preserve"> </w:t>
      </w:r>
      <w:r>
        <w:t xml:space="preserve">Jascha Chiaverini, the petitioner and owner of a jewelry store, purchased $45 worth of jewelry from a petty thief. The rightful owners contacted Chiaverini saying the jewelry he had purchased was their stolen property. He refused to turn over their property, and they subsequently called the police. Two officers instructed Chiaverini to return the jewelry to the people, but Chiaverini refused, saying the request contradicted a letter he had received from the police department telling him to retain the items as evidence. After again refusing to surrender the items to another officer the next day, Chiaverini indicated to the officer that he lacked a license to operate the store, which changed the angle of the investigation.  With a </w:t>
      </w:r>
      <w:proofErr w:type="gramStart"/>
      <w:r>
        <w:t>warrant</w:t>
      </w:r>
      <w:proofErr w:type="gramEnd"/>
      <w:r>
        <w:t xml:space="preserve">, they then arrested him and detained him for three days. The officers from Napoleon, Ohio charged him with three crimes: receiving stolen property (misdemeanor), dealing precious metals without a license (misdemeanor), and money laundering (felony). </w:t>
      </w:r>
      <w:proofErr w:type="gramStart"/>
      <w:r>
        <w:t>A court</w:t>
      </w:r>
      <w:proofErr w:type="gramEnd"/>
      <w:r>
        <w:t xml:space="preserve"> later dismissed the case after prosecutors failed to bring it before a grand jury on time. Under the belief his detention was unjustified, Chiaverini sued the officers, making a </w:t>
      </w:r>
      <w:proofErr w:type="gramStart"/>
      <w:r>
        <w:t>malicious-prosecution</w:t>
      </w:r>
      <w:proofErr w:type="gramEnd"/>
      <w:r>
        <w:t xml:space="preserve"> claim under the Fourth Amendment. For such a claim to be successful, Chiaverini had to demonstrate the charges lacked probable cause, and thus lead to an unreasonable search and seizure. The Sixth Circuit held the two misdemeanor charges as clearly having probable cause, but did not address whether the felony charge had probable cause. The Sixth Circuit reasoned that </w:t>
      </w:r>
      <w:proofErr w:type="gramStart"/>
      <w:r>
        <w:t>as long as</w:t>
      </w:r>
      <w:proofErr w:type="gramEnd"/>
      <w:r>
        <w:t xml:space="preserve"> probable cause existed for at least one of the charges then a </w:t>
      </w:r>
      <w:proofErr w:type="gramStart"/>
      <w:r>
        <w:t>malicious-prosecution</w:t>
      </w:r>
      <w:proofErr w:type="gramEnd"/>
      <w:r>
        <w:t xml:space="preserve"> claim based on any of the other charges, even if they were baseless, should fail.  </w:t>
      </w:r>
    </w:p>
    <w:p w14:paraId="7C63BFE3" w14:textId="77777777" w:rsidR="007231FF" w:rsidRDefault="00000000">
      <w:pPr>
        <w:spacing w:after="37" w:line="259" w:lineRule="auto"/>
        <w:ind w:left="19" w:firstLine="0"/>
      </w:pPr>
      <w:r>
        <w:t xml:space="preserve"> </w:t>
      </w:r>
    </w:p>
    <w:p w14:paraId="19C5601A" w14:textId="77777777" w:rsidR="007231FF" w:rsidRDefault="00000000">
      <w:pPr>
        <w:spacing w:after="39" w:line="259" w:lineRule="auto"/>
        <w:ind w:left="14" w:right="6089" w:hanging="10"/>
      </w:pPr>
      <w:r>
        <w:rPr>
          <w:rFonts w:ascii="Calibri" w:eastAsia="Calibri" w:hAnsi="Calibri" w:cs="Calibri"/>
        </w:rPr>
        <w:t>Procedural</w:t>
      </w:r>
      <w:r>
        <w:t xml:space="preserve"> </w:t>
      </w:r>
      <w:r>
        <w:rPr>
          <w:rFonts w:ascii="Calibri" w:eastAsia="Calibri" w:hAnsi="Calibri" w:cs="Calibri"/>
        </w:rPr>
        <w:t>History:</w:t>
      </w:r>
      <w:r>
        <w:t xml:space="preserve"> </w:t>
      </w:r>
    </w:p>
    <w:p w14:paraId="44048A01" w14:textId="77777777" w:rsidR="007231FF" w:rsidRDefault="00000000">
      <w:pPr>
        <w:numPr>
          <w:ilvl w:val="0"/>
          <w:numId w:val="1"/>
        </w:numPr>
        <w:ind w:hanging="360"/>
      </w:pPr>
      <w:r>
        <w:t xml:space="preserve">Filed in District Court, which granted summary judgement to the officers </w:t>
      </w:r>
    </w:p>
    <w:p w14:paraId="7D2F29EB" w14:textId="77777777" w:rsidR="007231FF" w:rsidRDefault="00000000">
      <w:pPr>
        <w:numPr>
          <w:ilvl w:val="0"/>
          <w:numId w:val="1"/>
        </w:numPr>
        <w:ind w:hanging="360"/>
      </w:pPr>
      <w:r>
        <w:t xml:space="preserve">Appealed to the Court of Appeals for the Sixth Circuit, which affirmed the District Court. </w:t>
      </w:r>
    </w:p>
    <w:p w14:paraId="1568093F" w14:textId="77777777" w:rsidR="007231FF" w:rsidRDefault="00000000">
      <w:pPr>
        <w:numPr>
          <w:ilvl w:val="0"/>
          <w:numId w:val="1"/>
        </w:numPr>
        <w:ind w:hanging="360"/>
      </w:pPr>
      <w:r>
        <w:t xml:space="preserve">Appealed to the U.S. Supreme Court, which granted </w:t>
      </w:r>
      <w:r>
        <w:rPr>
          <w:sz w:val="25"/>
        </w:rPr>
        <w:t xml:space="preserve">certiorari </w:t>
      </w:r>
      <w:r>
        <w:t xml:space="preserve">to resolve a circuit split </w:t>
      </w:r>
    </w:p>
    <w:p w14:paraId="53376684" w14:textId="77777777" w:rsidR="007231FF" w:rsidRDefault="00000000">
      <w:pPr>
        <w:spacing w:after="12" w:line="259" w:lineRule="auto"/>
        <w:ind w:left="0" w:firstLine="0"/>
      </w:pPr>
      <w:r>
        <w:rPr>
          <w:sz w:val="25"/>
        </w:rPr>
        <w:t xml:space="preserve"> </w:t>
      </w:r>
    </w:p>
    <w:p w14:paraId="0F64AB60" w14:textId="77777777" w:rsidR="007231FF" w:rsidRDefault="00000000">
      <w:pPr>
        <w:spacing w:after="39" w:line="259" w:lineRule="auto"/>
        <w:ind w:left="14" w:right="6089" w:hanging="10"/>
      </w:pPr>
      <w:r>
        <w:rPr>
          <w:rFonts w:ascii="Calibri" w:eastAsia="Calibri" w:hAnsi="Calibri" w:cs="Calibri"/>
        </w:rPr>
        <w:t>Issue:</w:t>
      </w:r>
      <w:r>
        <w:t xml:space="preserve">  </w:t>
      </w:r>
    </w:p>
    <w:p w14:paraId="240F380D" w14:textId="77777777" w:rsidR="007231FF" w:rsidRDefault="00000000">
      <w:pPr>
        <w:numPr>
          <w:ilvl w:val="0"/>
          <w:numId w:val="2"/>
        </w:numPr>
        <w:spacing w:after="1122"/>
        <w:ind w:hanging="360"/>
      </w:pPr>
      <w:r>
        <w:t xml:space="preserve">Can a </w:t>
      </w:r>
      <w:proofErr w:type="gramStart"/>
      <w:r>
        <w:t>malicious-prosecution</w:t>
      </w:r>
      <w:proofErr w:type="gramEnd"/>
      <w:r>
        <w:t xml:space="preserve"> claim under the Fourth Amendment with respect to a baseless charge proceed even if other charges brought </w:t>
      </w:r>
      <w:proofErr w:type="gramStart"/>
      <w:r>
        <w:t>alongside</w:t>
      </w:r>
      <w:proofErr w:type="gramEnd"/>
      <w:r>
        <w:t xml:space="preserve"> it did have probable cause? </w:t>
      </w:r>
    </w:p>
    <w:p w14:paraId="76E60AB5" w14:textId="77777777" w:rsidR="007231FF" w:rsidRDefault="00000000">
      <w:pPr>
        <w:spacing w:after="0" w:line="259" w:lineRule="auto"/>
        <w:ind w:left="19" w:firstLine="0"/>
      </w:pPr>
      <w:r>
        <w:rPr>
          <w:rFonts w:ascii="Arial" w:eastAsia="Arial" w:hAnsi="Arial" w:cs="Arial"/>
          <w:sz w:val="22"/>
        </w:rPr>
        <w:t xml:space="preserve"> </w:t>
      </w:r>
    </w:p>
    <w:p w14:paraId="7235C699" w14:textId="77777777" w:rsidR="007231FF" w:rsidRDefault="00000000">
      <w:pPr>
        <w:spacing w:after="426" w:line="259" w:lineRule="auto"/>
        <w:ind w:left="19" w:firstLine="0"/>
      </w:pPr>
      <w:r>
        <w:t xml:space="preserve"> </w:t>
      </w:r>
    </w:p>
    <w:p w14:paraId="1410DDBC" w14:textId="77777777" w:rsidR="007231FF" w:rsidRDefault="00000000">
      <w:pPr>
        <w:numPr>
          <w:ilvl w:val="0"/>
          <w:numId w:val="2"/>
        </w:numPr>
        <w:ind w:hanging="360"/>
      </w:pPr>
      <w:r>
        <w:lastRenderedPageBreak/>
        <w:t xml:space="preserve">Since a malicious-prosecution suit depends on both an unsupported charge </w:t>
      </w:r>
      <w:r>
        <w:rPr>
          <w:sz w:val="25"/>
        </w:rPr>
        <w:t>and said charge causing the seizure</w:t>
      </w:r>
      <w:r>
        <w:t xml:space="preserve">, how should this element of causation be </w:t>
      </w:r>
    </w:p>
    <w:p w14:paraId="66173C67" w14:textId="77777777" w:rsidR="007231FF" w:rsidRDefault="00000000">
      <w:pPr>
        <w:ind w:left="739" w:firstLine="0"/>
      </w:pPr>
      <w:r>
        <w:t xml:space="preserve">considered?  </w:t>
      </w:r>
    </w:p>
    <w:p w14:paraId="247523B8" w14:textId="77777777" w:rsidR="007231FF" w:rsidRDefault="00000000">
      <w:pPr>
        <w:spacing w:after="38" w:line="259" w:lineRule="auto"/>
        <w:ind w:left="19" w:firstLine="0"/>
      </w:pPr>
      <w:r>
        <w:t xml:space="preserve"> </w:t>
      </w:r>
    </w:p>
    <w:p w14:paraId="3CE81DB0" w14:textId="77777777" w:rsidR="007231FF" w:rsidRDefault="00000000">
      <w:pPr>
        <w:spacing w:after="39" w:line="259" w:lineRule="auto"/>
        <w:ind w:left="14" w:right="6089" w:hanging="10"/>
      </w:pPr>
      <w:r>
        <w:rPr>
          <w:rFonts w:ascii="Calibri" w:eastAsia="Calibri" w:hAnsi="Calibri" w:cs="Calibri"/>
        </w:rPr>
        <w:t>Holding:</w:t>
      </w:r>
      <w:r>
        <w:t xml:space="preserve">  </w:t>
      </w:r>
    </w:p>
    <w:p w14:paraId="2FC7CC98" w14:textId="77777777" w:rsidR="007231FF" w:rsidRDefault="00000000">
      <w:pPr>
        <w:numPr>
          <w:ilvl w:val="0"/>
          <w:numId w:val="3"/>
        </w:numPr>
        <w:spacing w:after="5"/>
        <w:ind w:hanging="360"/>
      </w:pPr>
      <w:r>
        <w:t xml:space="preserve">Yes, malicious-prosecution suits may proceed when other charges have probable cause. </w:t>
      </w:r>
    </w:p>
    <w:p w14:paraId="1F00AD07" w14:textId="77777777" w:rsidR="007231FF" w:rsidRDefault="00000000">
      <w:pPr>
        <w:numPr>
          <w:ilvl w:val="0"/>
          <w:numId w:val="3"/>
        </w:numPr>
        <w:ind w:hanging="360"/>
      </w:pPr>
      <w:proofErr w:type="gramStart"/>
      <w:r>
        <w:t>Court</w:t>
      </w:r>
      <w:proofErr w:type="gramEnd"/>
      <w:r>
        <w:t xml:space="preserve"> will not rule on the matter and defer it to the lower court.  </w:t>
      </w:r>
    </w:p>
    <w:p w14:paraId="77FA95CB" w14:textId="77777777" w:rsidR="007231FF" w:rsidRDefault="00000000">
      <w:pPr>
        <w:spacing w:after="46" w:line="259" w:lineRule="auto"/>
        <w:ind w:left="19" w:firstLine="0"/>
      </w:pPr>
      <w:r>
        <w:t xml:space="preserve"> </w:t>
      </w:r>
    </w:p>
    <w:p w14:paraId="63518C0C" w14:textId="77777777" w:rsidR="007231FF" w:rsidRDefault="00000000">
      <w:pPr>
        <w:ind w:left="19" w:firstLine="0"/>
      </w:pPr>
      <w:r>
        <w:rPr>
          <w:rFonts w:ascii="Calibri" w:eastAsia="Calibri" w:hAnsi="Calibri" w:cs="Calibri"/>
        </w:rPr>
        <w:t>Judgment:</w:t>
      </w:r>
      <w:r>
        <w:t xml:space="preserve"> Vacated and Remanded.  </w:t>
      </w:r>
    </w:p>
    <w:p w14:paraId="4A769993" w14:textId="77777777" w:rsidR="007231FF" w:rsidRDefault="00000000">
      <w:pPr>
        <w:spacing w:after="38" w:line="259" w:lineRule="auto"/>
        <w:ind w:left="19" w:firstLine="0"/>
      </w:pPr>
      <w:r>
        <w:t xml:space="preserve"> </w:t>
      </w:r>
    </w:p>
    <w:p w14:paraId="42EE87DA" w14:textId="77777777" w:rsidR="007231FF" w:rsidRDefault="00000000">
      <w:pPr>
        <w:spacing w:after="39" w:line="259" w:lineRule="auto"/>
        <w:ind w:left="14" w:right="6089" w:hanging="10"/>
      </w:pPr>
      <w:r>
        <w:rPr>
          <w:rFonts w:ascii="Calibri" w:eastAsia="Calibri" w:hAnsi="Calibri" w:cs="Calibri"/>
        </w:rPr>
        <w:t>Opinions:</w:t>
      </w:r>
      <w:r>
        <w:t xml:space="preserve">  </w:t>
      </w:r>
    </w:p>
    <w:p w14:paraId="53DE7BCE" w14:textId="77777777" w:rsidR="007231FF" w:rsidRDefault="00000000">
      <w:pPr>
        <w:ind w:left="370" w:right="253"/>
      </w:pPr>
      <w:r>
        <w:rPr>
          <w:sz w:val="25"/>
        </w:rPr>
        <w:t xml:space="preserve">Kagan (majority), joined by Roberts, Sotomayor, Kavanaugh, Barrett, and </w:t>
      </w:r>
      <w:proofErr w:type="gramStart"/>
      <w:r>
        <w:rPr>
          <w:sz w:val="25"/>
        </w:rPr>
        <w:t xml:space="preserve">Jackson </w:t>
      </w:r>
      <w:r>
        <w:t xml:space="preserve"> </w:t>
      </w:r>
      <w:r>
        <w:rPr>
          <w:rFonts w:ascii="Arial" w:eastAsia="Arial" w:hAnsi="Arial" w:cs="Arial"/>
        </w:rPr>
        <w:t>●</w:t>
      </w:r>
      <w:proofErr w:type="gramEnd"/>
      <w:r>
        <w:rPr>
          <w:rFonts w:ascii="Arial" w:eastAsia="Arial" w:hAnsi="Arial" w:cs="Arial"/>
        </w:rPr>
        <w:t xml:space="preserve"> </w:t>
      </w:r>
      <w:r>
        <w:t xml:space="preserve">Courts should perform a charge-by-charge analysis in suits like Chiaverini’s suit. </w:t>
      </w:r>
    </w:p>
    <w:p w14:paraId="19405DDD" w14:textId="77777777" w:rsidR="007231FF" w:rsidRDefault="00000000">
      <w:pPr>
        <w:ind w:left="1469"/>
      </w:pPr>
      <w:r>
        <w:rPr>
          <w:rFonts w:ascii="Arial" w:eastAsia="Arial" w:hAnsi="Arial" w:cs="Arial"/>
        </w:rPr>
        <w:t xml:space="preserve">○ </w:t>
      </w:r>
      <w:r>
        <w:t xml:space="preserve">Reasoning based on Fourth Amendment law: pre-trial detentions require probable cause. Even if initially justified, the detention could be unreasonably prolonged.  If an invalid charge is the reason for the start or continuation of someone’s detention, then the Amendment is violated even if other valid charges have been brought.  </w:t>
      </w:r>
    </w:p>
    <w:p w14:paraId="555D9A76" w14:textId="77777777" w:rsidR="007231FF" w:rsidRDefault="00000000">
      <w:pPr>
        <w:ind w:left="2189"/>
      </w:pPr>
      <w:r>
        <w:rPr>
          <w:rFonts w:ascii="Arial" w:eastAsia="Arial" w:hAnsi="Arial" w:cs="Arial"/>
        </w:rPr>
        <w:t xml:space="preserve">■ </w:t>
      </w:r>
      <w:r>
        <w:t xml:space="preserve">Hypothetical: </w:t>
      </w:r>
      <w:proofErr w:type="gramStart"/>
      <w:r>
        <w:t>person</w:t>
      </w:r>
      <w:proofErr w:type="gramEnd"/>
      <w:r>
        <w:t xml:space="preserve"> is detained on a valid drug charge and an invalid gun charge. Prosecutors drop the valid drug charge and keep the person detained on the invalid gun charge. This is </w:t>
      </w:r>
      <w:proofErr w:type="gramStart"/>
      <w:r>
        <w:t>an unconstitutional</w:t>
      </w:r>
      <w:proofErr w:type="gramEnd"/>
      <w:r>
        <w:t xml:space="preserve"> pre-trial detention. </w:t>
      </w:r>
    </w:p>
    <w:p w14:paraId="02FB7D08" w14:textId="77777777" w:rsidR="007231FF" w:rsidRDefault="00000000">
      <w:pPr>
        <w:ind w:left="1469"/>
      </w:pPr>
      <w:r>
        <w:rPr>
          <w:rFonts w:ascii="Arial" w:eastAsia="Arial" w:hAnsi="Arial" w:cs="Arial"/>
        </w:rPr>
        <w:t xml:space="preserve">○ </w:t>
      </w:r>
      <w:r>
        <w:t xml:space="preserve">Common law analysis: </w:t>
      </w:r>
      <w:proofErr w:type="spellStart"/>
      <w:r>
        <w:rPr>
          <w:sz w:val="25"/>
        </w:rPr>
        <w:t>Boogher</w:t>
      </w:r>
      <w:proofErr w:type="spellEnd"/>
      <w:r>
        <w:t xml:space="preserve"> and </w:t>
      </w:r>
      <w:r>
        <w:rPr>
          <w:sz w:val="25"/>
        </w:rPr>
        <w:t xml:space="preserve">Barron </w:t>
      </w:r>
      <w:r>
        <w:t xml:space="preserve">both agreed that probable cause existing for some of the charges did not dismiss the other claims deemed invalid.  </w:t>
      </w:r>
    </w:p>
    <w:p w14:paraId="04F85F6C" w14:textId="77777777" w:rsidR="007231FF" w:rsidRDefault="00000000">
      <w:pPr>
        <w:ind w:left="1469"/>
      </w:pPr>
      <w:r>
        <w:rPr>
          <w:rFonts w:ascii="Arial" w:eastAsia="Arial" w:hAnsi="Arial" w:cs="Arial"/>
        </w:rPr>
        <w:t xml:space="preserve">○ </w:t>
      </w:r>
      <w:r>
        <w:t xml:space="preserve">So, neither the Fourth Amendment nor </w:t>
      </w:r>
      <w:proofErr w:type="gramStart"/>
      <w:r>
        <w:t>malicious-prosecution</w:t>
      </w:r>
      <w:proofErr w:type="gramEnd"/>
      <w:r>
        <w:t xml:space="preserve"> </w:t>
      </w:r>
      <w:proofErr w:type="gramStart"/>
      <w:r>
        <w:t>tort</w:t>
      </w:r>
      <w:proofErr w:type="gramEnd"/>
      <w:r>
        <w:t xml:space="preserve"> invoked from analogy support the rule created by the Sixth Circuit.  </w:t>
      </w:r>
    </w:p>
    <w:p w14:paraId="4771589A" w14:textId="77777777" w:rsidR="007231FF" w:rsidRDefault="00000000">
      <w:pPr>
        <w:ind w:left="1469"/>
      </w:pPr>
      <w:r>
        <w:rPr>
          <w:rFonts w:ascii="Arial" w:eastAsia="Arial" w:hAnsi="Arial" w:cs="Arial"/>
        </w:rPr>
        <w:t xml:space="preserve">○ </w:t>
      </w:r>
      <w:r>
        <w:t xml:space="preserve">Other issues regarding the causation of the detention will not be considered. </w:t>
      </w:r>
    </w:p>
    <w:p w14:paraId="6260D66A" w14:textId="77777777" w:rsidR="007231FF" w:rsidRDefault="00000000">
      <w:pPr>
        <w:spacing w:after="13" w:line="259" w:lineRule="auto"/>
        <w:ind w:left="14" w:right="5406" w:hanging="10"/>
      </w:pPr>
      <w:r>
        <w:rPr>
          <w:sz w:val="25"/>
        </w:rPr>
        <w:t xml:space="preserve">Thomas (dissent), joined by Alito </w:t>
      </w:r>
    </w:p>
    <w:p w14:paraId="380E8031" w14:textId="77777777" w:rsidR="007231FF" w:rsidRDefault="00000000">
      <w:pPr>
        <w:numPr>
          <w:ilvl w:val="0"/>
          <w:numId w:val="4"/>
        </w:numPr>
        <w:ind w:hanging="360"/>
      </w:pPr>
      <w:r>
        <w:t xml:space="preserve">A </w:t>
      </w:r>
      <w:proofErr w:type="gramStart"/>
      <w:r>
        <w:t>malicious-prosecution</w:t>
      </w:r>
      <w:proofErr w:type="gramEnd"/>
      <w:r>
        <w:t xml:space="preserve"> claim cannot be based on the Fourth Amendment because:  </w:t>
      </w:r>
    </w:p>
    <w:p w14:paraId="1F58AFEB" w14:textId="77777777" w:rsidR="007231FF" w:rsidRDefault="00000000">
      <w:pPr>
        <w:ind w:left="1469"/>
      </w:pPr>
      <w:r>
        <w:rPr>
          <w:rFonts w:ascii="Arial" w:eastAsia="Arial" w:hAnsi="Arial" w:cs="Arial"/>
        </w:rPr>
        <w:t xml:space="preserve">○ </w:t>
      </w:r>
      <w:r>
        <w:t>The three elements needed to establish a malicious-prosecution claim—(</w:t>
      </w:r>
      <w:proofErr w:type="spellStart"/>
      <w:r>
        <w:t>i</w:t>
      </w:r>
      <w:proofErr w:type="spellEnd"/>
      <w:r>
        <w:t xml:space="preserve">) proceeding was initiated without probable cause, (ii) motive for the suit was malicious, (iii) prosecution terminated in acquittal or discharge—are incongruent with what is required to determine a Fourth Amendment violation.  </w:t>
      </w:r>
    </w:p>
    <w:p w14:paraId="2861953A" w14:textId="77777777" w:rsidR="007231FF" w:rsidRDefault="00000000">
      <w:pPr>
        <w:spacing w:after="429" w:line="259" w:lineRule="auto"/>
        <w:ind w:left="19" w:firstLine="0"/>
      </w:pPr>
      <w:r>
        <w:t xml:space="preserve"> </w:t>
      </w:r>
    </w:p>
    <w:p w14:paraId="42A69728" w14:textId="77777777" w:rsidR="007231FF" w:rsidRDefault="00000000">
      <w:pPr>
        <w:ind w:left="1469"/>
      </w:pPr>
      <w:r>
        <w:rPr>
          <w:rFonts w:ascii="Arial" w:eastAsia="Arial" w:hAnsi="Arial" w:cs="Arial"/>
        </w:rPr>
        <w:lastRenderedPageBreak/>
        <w:t xml:space="preserve">○ </w:t>
      </w:r>
      <w:r>
        <w:t xml:space="preserve">An unreasonable search and seizure may occur absent prosecution, absent malicious motives, and the result of subsequent prosecution does not matter. Also, malicious-prosecution claims do not require a search and seizure. </w:t>
      </w:r>
    </w:p>
    <w:p w14:paraId="0C019F25" w14:textId="77777777" w:rsidR="007231FF" w:rsidRDefault="00000000">
      <w:pPr>
        <w:ind w:left="1469"/>
      </w:pPr>
      <w:r>
        <w:rPr>
          <w:rFonts w:ascii="Arial" w:eastAsia="Arial" w:hAnsi="Arial" w:cs="Arial"/>
        </w:rPr>
        <w:t xml:space="preserve">○ </w:t>
      </w:r>
      <w:r>
        <w:t xml:space="preserve">Combining Fourth Amendment and malicious-prosecution frameworks will cause confusion.  </w:t>
      </w:r>
    </w:p>
    <w:p w14:paraId="3542F81A" w14:textId="77777777" w:rsidR="007231FF" w:rsidRDefault="00000000">
      <w:pPr>
        <w:spacing w:after="13" w:line="259" w:lineRule="auto"/>
        <w:ind w:left="14" w:right="5406" w:hanging="10"/>
      </w:pPr>
      <w:r>
        <w:rPr>
          <w:sz w:val="25"/>
        </w:rPr>
        <w:t xml:space="preserve">Gorsuch (dissent) </w:t>
      </w:r>
    </w:p>
    <w:p w14:paraId="6534D6FC" w14:textId="77777777" w:rsidR="007231FF" w:rsidRDefault="00000000">
      <w:pPr>
        <w:numPr>
          <w:ilvl w:val="0"/>
          <w:numId w:val="4"/>
        </w:numPr>
        <w:ind w:hanging="360"/>
      </w:pPr>
      <w:r>
        <w:t xml:space="preserve">The Fourth Amendment does not mention prosecutions.  </w:t>
      </w:r>
    </w:p>
    <w:p w14:paraId="37285DB6" w14:textId="77777777" w:rsidR="007231FF" w:rsidRDefault="00000000">
      <w:pPr>
        <w:numPr>
          <w:ilvl w:val="0"/>
          <w:numId w:val="4"/>
        </w:numPr>
        <w:ind w:hanging="360"/>
      </w:pPr>
      <w:r>
        <w:t xml:space="preserve">Claim is better housed under the Fourteenth Amendment.  </w:t>
      </w:r>
    </w:p>
    <w:p w14:paraId="229FD2A1" w14:textId="77777777" w:rsidR="007231FF" w:rsidRDefault="00000000">
      <w:pPr>
        <w:spacing w:after="39" w:line="259" w:lineRule="auto"/>
        <w:ind w:left="14" w:right="6089" w:hanging="10"/>
      </w:pPr>
      <w:r>
        <w:rPr>
          <w:rFonts w:ascii="Calibri" w:eastAsia="Calibri" w:hAnsi="Calibri" w:cs="Calibri"/>
        </w:rPr>
        <w:t>Relation</w:t>
      </w:r>
      <w:r>
        <w:t xml:space="preserve"> </w:t>
      </w:r>
      <w:r>
        <w:rPr>
          <w:rFonts w:ascii="Calibri" w:eastAsia="Calibri" w:hAnsi="Calibri" w:cs="Calibri"/>
        </w:rPr>
        <w:t>to</w:t>
      </w:r>
      <w:r>
        <w:t xml:space="preserve"> </w:t>
      </w:r>
      <w:r>
        <w:rPr>
          <w:rFonts w:ascii="Calibri" w:eastAsia="Calibri" w:hAnsi="Calibri" w:cs="Calibri"/>
        </w:rPr>
        <w:t>Other</w:t>
      </w:r>
      <w:r>
        <w:t xml:space="preserve"> </w:t>
      </w:r>
      <w:r>
        <w:rPr>
          <w:rFonts w:ascii="Calibri" w:eastAsia="Calibri" w:hAnsi="Calibri" w:cs="Calibri"/>
        </w:rPr>
        <w:t>Cases:</w:t>
      </w:r>
      <w:r>
        <w:t xml:space="preserve">  </w:t>
      </w:r>
    </w:p>
    <w:p w14:paraId="68603736" w14:textId="77777777" w:rsidR="007231FF" w:rsidRDefault="00000000">
      <w:pPr>
        <w:numPr>
          <w:ilvl w:val="0"/>
          <w:numId w:val="4"/>
        </w:numPr>
        <w:spacing w:after="37" w:line="259" w:lineRule="auto"/>
        <w:ind w:hanging="360"/>
      </w:pPr>
      <w:r>
        <w:rPr>
          <w:sz w:val="25"/>
        </w:rPr>
        <w:t>Thompson v. Clark</w:t>
      </w:r>
      <w:r>
        <w:t xml:space="preserve"> (2022) </w:t>
      </w:r>
    </w:p>
    <w:p w14:paraId="4E3312D2" w14:textId="77777777" w:rsidR="007231FF" w:rsidRDefault="00000000">
      <w:pPr>
        <w:numPr>
          <w:ilvl w:val="0"/>
          <w:numId w:val="4"/>
        </w:numPr>
        <w:spacing w:after="37" w:line="259" w:lineRule="auto"/>
        <w:ind w:hanging="360"/>
      </w:pPr>
      <w:r>
        <w:rPr>
          <w:sz w:val="25"/>
        </w:rPr>
        <w:t xml:space="preserve">Manuel v. Joliet </w:t>
      </w:r>
      <w:r>
        <w:t xml:space="preserve">(2017) </w:t>
      </w:r>
    </w:p>
    <w:p w14:paraId="1865D3F7" w14:textId="77777777" w:rsidR="007231FF" w:rsidRDefault="00000000">
      <w:pPr>
        <w:numPr>
          <w:ilvl w:val="0"/>
          <w:numId w:val="4"/>
        </w:numPr>
        <w:spacing w:after="37" w:line="259" w:lineRule="auto"/>
        <w:ind w:hanging="360"/>
      </w:pPr>
      <w:proofErr w:type="spellStart"/>
      <w:r>
        <w:rPr>
          <w:sz w:val="25"/>
        </w:rPr>
        <w:t>Boogher</w:t>
      </w:r>
      <w:proofErr w:type="spellEnd"/>
      <w:r>
        <w:rPr>
          <w:sz w:val="25"/>
        </w:rPr>
        <w:t xml:space="preserve"> v. Bryant </w:t>
      </w:r>
      <w:r>
        <w:t xml:space="preserve">(1885) </w:t>
      </w:r>
    </w:p>
    <w:p w14:paraId="15815DC2" w14:textId="77777777" w:rsidR="007231FF" w:rsidRDefault="00000000">
      <w:pPr>
        <w:numPr>
          <w:ilvl w:val="0"/>
          <w:numId w:val="4"/>
        </w:numPr>
        <w:spacing w:after="37" w:line="259" w:lineRule="auto"/>
        <w:ind w:hanging="360"/>
      </w:pPr>
      <w:r>
        <w:rPr>
          <w:sz w:val="25"/>
        </w:rPr>
        <w:t>Barron v. Mason</w:t>
      </w:r>
      <w:r>
        <w:t xml:space="preserve"> (1858) </w:t>
      </w:r>
      <w:r>
        <w:rPr>
          <w:rFonts w:ascii="Calibri" w:eastAsia="Calibri" w:hAnsi="Calibri" w:cs="Calibri"/>
        </w:rPr>
        <w:t>Source</w:t>
      </w:r>
      <w:r>
        <w:t xml:space="preserve"> </w:t>
      </w:r>
      <w:r>
        <w:rPr>
          <w:rFonts w:ascii="Calibri" w:eastAsia="Calibri" w:hAnsi="Calibri" w:cs="Calibri"/>
        </w:rPr>
        <w:t>of</w:t>
      </w:r>
      <w:r>
        <w:t xml:space="preserve"> </w:t>
      </w:r>
      <w:r>
        <w:rPr>
          <w:rFonts w:ascii="Calibri" w:eastAsia="Calibri" w:hAnsi="Calibri" w:cs="Calibri"/>
        </w:rPr>
        <w:t>Law:</w:t>
      </w:r>
      <w:r>
        <w:t xml:space="preserve"> </w:t>
      </w:r>
    </w:p>
    <w:p w14:paraId="1EF6A9B4" w14:textId="77777777" w:rsidR="007231FF" w:rsidRDefault="00000000">
      <w:pPr>
        <w:numPr>
          <w:ilvl w:val="0"/>
          <w:numId w:val="4"/>
        </w:numPr>
        <w:ind w:hanging="360"/>
      </w:pPr>
      <w:r>
        <w:t xml:space="preserve">Fourth Amendment  </w:t>
      </w:r>
    </w:p>
    <w:p w14:paraId="77D92A24" w14:textId="77777777" w:rsidR="007231FF" w:rsidRDefault="00000000">
      <w:pPr>
        <w:numPr>
          <w:ilvl w:val="0"/>
          <w:numId w:val="4"/>
        </w:numPr>
        <w:spacing w:after="39" w:line="259" w:lineRule="auto"/>
        <w:ind w:hanging="360"/>
      </w:pPr>
      <w:r>
        <w:t xml:space="preserve">42 U. S. C. §1983 </w:t>
      </w:r>
      <w:r>
        <w:rPr>
          <w:rFonts w:ascii="Calibri" w:eastAsia="Calibri" w:hAnsi="Calibri" w:cs="Calibri"/>
        </w:rPr>
        <w:t>System</w:t>
      </w:r>
      <w:r>
        <w:t xml:space="preserve"> </w:t>
      </w:r>
      <w:r>
        <w:rPr>
          <w:rFonts w:ascii="Calibri" w:eastAsia="Calibri" w:hAnsi="Calibri" w:cs="Calibri"/>
        </w:rPr>
        <w:t>Operations:</w:t>
      </w:r>
      <w:r>
        <w:t xml:space="preserve">  </w:t>
      </w:r>
    </w:p>
    <w:p w14:paraId="6132996B" w14:textId="77777777" w:rsidR="007231FF" w:rsidRDefault="00000000">
      <w:pPr>
        <w:numPr>
          <w:ilvl w:val="0"/>
          <w:numId w:val="4"/>
        </w:numPr>
        <w:spacing w:after="4" w:line="283" w:lineRule="auto"/>
        <w:ind w:hanging="360"/>
      </w:pPr>
      <w:proofErr w:type="gramStart"/>
      <w:r>
        <w:t>Speaks</w:t>
      </w:r>
      <w:proofErr w:type="gramEnd"/>
      <w:r>
        <w:t xml:space="preserve"> </w:t>
      </w:r>
      <w:proofErr w:type="gramStart"/>
      <w:r>
        <w:t>on</w:t>
      </w:r>
      <w:proofErr w:type="gramEnd"/>
      <w:r>
        <w:t xml:space="preserve"> how judges may not be able to adhere to precedents they disagree with, as in the case of Thomas, Alito, and Gorsuch who dissented in </w:t>
      </w:r>
      <w:r>
        <w:rPr>
          <w:sz w:val="25"/>
        </w:rPr>
        <w:t>Thomas</w:t>
      </w:r>
      <w:r>
        <w:t xml:space="preserve"> as well.  </w:t>
      </w:r>
    </w:p>
    <w:p w14:paraId="6D347EE7" w14:textId="77777777" w:rsidR="007231FF" w:rsidRDefault="00000000">
      <w:pPr>
        <w:numPr>
          <w:ilvl w:val="0"/>
          <w:numId w:val="4"/>
        </w:numPr>
        <w:ind w:hanging="360"/>
      </w:pPr>
      <w:r>
        <w:t xml:space="preserve">Demonstrates </w:t>
      </w:r>
      <w:proofErr w:type="gramStart"/>
      <w:r>
        <w:t>importance</w:t>
      </w:r>
      <w:proofErr w:type="gramEnd"/>
      <w:r>
        <w:t xml:space="preserve"> of magistrates ensuring high accuracy with matters concerning constitutional rights issues.  </w:t>
      </w:r>
    </w:p>
    <w:p w14:paraId="11F54660" w14:textId="77777777" w:rsidR="007231FF" w:rsidRDefault="00000000">
      <w:pPr>
        <w:spacing w:after="39" w:line="259" w:lineRule="auto"/>
        <w:ind w:left="14" w:right="6089" w:hanging="10"/>
      </w:pPr>
      <w:r>
        <w:rPr>
          <w:rFonts w:ascii="Calibri" w:eastAsia="Calibri" w:hAnsi="Calibri" w:cs="Calibri"/>
        </w:rPr>
        <w:t>Impact:</w:t>
      </w:r>
      <w:r>
        <w:t xml:space="preserve">  </w:t>
      </w:r>
    </w:p>
    <w:p w14:paraId="09999E6E" w14:textId="77777777" w:rsidR="007231FF" w:rsidRDefault="00000000">
      <w:pPr>
        <w:numPr>
          <w:ilvl w:val="0"/>
          <w:numId w:val="4"/>
        </w:numPr>
        <w:ind w:hanging="360"/>
      </w:pPr>
      <w:r>
        <w:t xml:space="preserve">Charges can be considered separately for a </w:t>
      </w:r>
      <w:proofErr w:type="gramStart"/>
      <w:r>
        <w:t>malicious-prosecution</w:t>
      </w:r>
      <w:proofErr w:type="gramEnd"/>
      <w:r>
        <w:t xml:space="preserve"> suit.  </w:t>
      </w:r>
    </w:p>
    <w:p w14:paraId="655F955C" w14:textId="77777777" w:rsidR="007231FF" w:rsidRDefault="00000000">
      <w:pPr>
        <w:numPr>
          <w:ilvl w:val="0"/>
          <w:numId w:val="4"/>
        </w:numPr>
        <w:ind w:hanging="360"/>
      </w:pPr>
      <w:r>
        <w:t xml:space="preserve">Police will be more careful </w:t>
      </w:r>
      <w:proofErr w:type="gramStart"/>
      <w:r>
        <w:t>to not</w:t>
      </w:r>
      <w:proofErr w:type="gramEnd"/>
      <w:r>
        <w:t xml:space="preserve"> overcharge because one valid charge will not cut them out of a suit.  </w:t>
      </w:r>
    </w:p>
    <w:sectPr w:rsidR="007231FF">
      <w:pgSz w:w="12240" w:h="15840"/>
      <w:pgMar w:top="768" w:right="1445" w:bottom="758"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B26"/>
    <w:multiLevelType w:val="hybridMultilevel"/>
    <w:tmpl w:val="4FBC3A26"/>
    <w:lvl w:ilvl="0" w:tplc="10D2B91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068518">
      <w:start w:val="1"/>
      <w:numFmt w:val="bullet"/>
      <w:lvlText w:val="o"/>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567D0C">
      <w:start w:val="1"/>
      <w:numFmt w:val="bullet"/>
      <w:lvlText w:val="▪"/>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62CB02">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E8E8E">
      <w:start w:val="1"/>
      <w:numFmt w:val="bullet"/>
      <w:lvlText w:val="o"/>
      <w:lvlJc w:val="left"/>
      <w:pPr>
        <w:ind w:left="3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98E246">
      <w:start w:val="1"/>
      <w:numFmt w:val="bullet"/>
      <w:lvlText w:val="▪"/>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6DD64">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2EAD4C">
      <w:start w:val="1"/>
      <w:numFmt w:val="bullet"/>
      <w:lvlText w:val="o"/>
      <w:lvlJc w:val="left"/>
      <w:pPr>
        <w:ind w:left="5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62FB7E">
      <w:start w:val="1"/>
      <w:numFmt w:val="bullet"/>
      <w:lvlText w:val="▪"/>
      <w:lvlJc w:val="left"/>
      <w:pPr>
        <w:ind w:left="6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486480"/>
    <w:multiLevelType w:val="hybridMultilevel"/>
    <w:tmpl w:val="8850F11A"/>
    <w:lvl w:ilvl="0" w:tplc="3BACC9E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D01720">
      <w:start w:val="1"/>
      <w:numFmt w:val="bullet"/>
      <w:lvlText w:val="o"/>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DA1BA6">
      <w:start w:val="1"/>
      <w:numFmt w:val="bullet"/>
      <w:lvlText w:val="▪"/>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5E6FD6">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E48622">
      <w:start w:val="1"/>
      <w:numFmt w:val="bullet"/>
      <w:lvlText w:val="o"/>
      <w:lvlJc w:val="left"/>
      <w:pPr>
        <w:ind w:left="3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ECFA0">
      <w:start w:val="1"/>
      <w:numFmt w:val="bullet"/>
      <w:lvlText w:val="▪"/>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621AC">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AAE50E">
      <w:start w:val="1"/>
      <w:numFmt w:val="bullet"/>
      <w:lvlText w:val="o"/>
      <w:lvlJc w:val="left"/>
      <w:pPr>
        <w:ind w:left="5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4DF8A">
      <w:start w:val="1"/>
      <w:numFmt w:val="bullet"/>
      <w:lvlText w:val="▪"/>
      <w:lvlJc w:val="left"/>
      <w:pPr>
        <w:ind w:left="6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C2007C"/>
    <w:multiLevelType w:val="hybridMultilevel"/>
    <w:tmpl w:val="6FE6522A"/>
    <w:lvl w:ilvl="0" w:tplc="AD7298E2">
      <w:start w:val="1"/>
      <w:numFmt w:val="decimal"/>
      <w:lvlText w:val="(%1)"/>
      <w:lvlJc w:val="left"/>
      <w:pPr>
        <w:ind w:left="72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BF3009E8">
      <w:start w:val="1"/>
      <w:numFmt w:val="lowerLetter"/>
      <w:lvlText w:val="%2"/>
      <w:lvlJc w:val="left"/>
      <w:pPr>
        <w:ind w:left="145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48126682">
      <w:start w:val="1"/>
      <w:numFmt w:val="lowerRoman"/>
      <w:lvlText w:val="%3"/>
      <w:lvlJc w:val="left"/>
      <w:pPr>
        <w:ind w:left="217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1F2C610A">
      <w:start w:val="1"/>
      <w:numFmt w:val="decimal"/>
      <w:lvlText w:val="%4"/>
      <w:lvlJc w:val="left"/>
      <w:pPr>
        <w:ind w:left="289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39FAA8D0">
      <w:start w:val="1"/>
      <w:numFmt w:val="lowerLetter"/>
      <w:lvlText w:val="%5"/>
      <w:lvlJc w:val="left"/>
      <w:pPr>
        <w:ind w:left="361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B9941630">
      <w:start w:val="1"/>
      <w:numFmt w:val="lowerRoman"/>
      <w:lvlText w:val="%6"/>
      <w:lvlJc w:val="left"/>
      <w:pPr>
        <w:ind w:left="433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9C34F546">
      <w:start w:val="1"/>
      <w:numFmt w:val="decimal"/>
      <w:lvlText w:val="%7"/>
      <w:lvlJc w:val="left"/>
      <w:pPr>
        <w:ind w:left="505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06D0D11C">
      <w:start w:val="1"/>
      <w:numFmt w:val="lowerLetter"/>
      <w:lvlText w:val="%8"/>
      <w:lvlJc w:val="left"/>
      <w:pPr>
        <w:ind w:left="577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CEBE08E2">
      <w:start w:val="1"/>
      <w:numFmt w:val="lowerRoman"/>
      <w:lvlText w:val="%9"/>
      <w:lvlJc w:val="left"/>
      <w:pPr>
        <w:ind w:left="649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93677A"/>
    <w:multiLevelType w:val="hybridMultilevel"/>
    <w:tmpl w:val="E2242620"/>
    <w:lvl w:ilvl="0" w:tplc="20B65218">
      <w:start w:val="1"/>
      <w:numFmt w:val="decimal"/>
      <w:lvlText w:val="(%1)"/>
      <w:lvlJc w:val="left"/>
      <w:pPr>
        <w:ind w:left="72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F77011AE">
      <w:start w:val="1"/>
      <w:numFmt w:val="lowerLetter"/>
      <w:lvlText w:val="%2"/>
      <w:lvlJc w:val="left"/>
      <w:pPr>
        <w:ind w:left="145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91A630C4">
      <w:start w:val="1"/>
      <w:numFmt w:val="lowerRoman"/>
      <w:lvlText w:val="%3"/>
      <w:lvlJc w:val="left"/>
      <w:pPr>
        <w:ind w:left="217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49F84214">
      <w:start w:val="1"/>
      <w:numFmt w:val="decimal"/>
      <w:lvlText w:val="%4"/>
      <w:lvlJc w:val="left"/>
      <w:pPr>
        <w:ind w:left="289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55C4B10A">
      <w:start w:val="1"/>
      <w:numFmt w:val="lowerLetter"/>
      <w:lvlText w:val="%5"/>
      <w:lvlJc w:val="left"/>
      <w:pPr>
        <w:ind w:left="361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77B02370">
      <w:start w:val="1"/>
      <w:numFmt w:val="lowerRoman"/>
      <w:lvlText w:val="%6"/>
      <w:lvlJc w:val="left"/>
      <w:pPr>
        <w:ind w:left="433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F7B47EBC">
      <w:start w:val="1"/>
      <w:numFmt w:val="decimal"/>
      <w:lvlText w:val="%7"/>
      <w:lvlJc w:val="left"/>
      <w:pPr>
        <w:ind w:left="505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7960C046">
      <w:start w:val="1"/>
      <w:numFmt w:val="lowerLetter"/>
      <w:lvlText w:val="%8"/>
      <w:lvlJc w:val="left"/>
      <w:pPr>
        <w:ind w:left="577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C34E0908">
      <w:start w:val="1"/>
      <w:numFmt w:val="lowerRoman"/>
      <w:lvlText w:val="%9"/>
      <w:lvlJc w:val="left"/>
      <w:pPr>
        <w:ind w:left="649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num w:numId="1" w16cid:durableId="1310287499">
    <w:abstractNumId w:val="1"/>
  </w:num>
  <w:num w:numId="2" w16cid:durableId="327175021">
    <w:abstractNumId w:val="2"/>
  </w:num>
  <w:num w:numId="3" w16cid:durableId="1655598911">
    <w:abstractNumId w:val="3"/>
  </w:num>
  <w:num w:numId="4" w16cid:durableId="155342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FF"/>
    <w:rsid w:val="00001FFA"/>
    <w:rsid w:val="007231FF"/>
    <w:rsid w:val="00FA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7C4"/>
  <w15:docId w15:val="{1EC28415-ED37-4040-93AC-BE85682B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71" w:lineRule="auto"/>
      <w:ind w:left="389" w:hanging="370"/>
    </w:pPr>
    <w:rPr>
      <w:rFonts w:ascii="Century" w:eastAsia="Century" w:hAnsi="Century" w:cs="Century"/>
      <w:color w:val="000000"/>
    </w:rPr>
  </w:style>
  <w:style w:type="paragraph" w:styleId="Heading1">
    <w:name w:val="heading 1"/>
    <w:next w:val="Normal"/>
    <w:link w:val="Heading1Char"/>
    <w:uiPriority w:val="9"/>
    <w:qFormat/>
    <w:pPr>
      <w:keepNext/>
      <w:keepLines/>
      <w:spacing w:after="28" w:line="259" w:lineRule="auto"/>
      <w:ind w:left="19"/>
      <w:outlineLvl w:val="0"/>
    </w:pPr>
    <w:rPr>
      <w:rFonts w:ascii="Calibri" w:eastAsia="Calibri" w:hAnsi="Calibri" w:cs="Calibri"/>
      <w:color w:val="000000"/>
      <w:sz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5"/>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Braxton Bullock - Paper #1: Supreme Court Brief </dc:title>
  <dc:subject/>
  <dc:creator>Alan Sager</dc:creator>
  <cp:keywords/>
  <cp:lastModifiedBy>Alan Sager</cp:lastModifiedBy>
  <cp:revision>2</cp:revision>
  <dcterms:created xsi:type="dcterms:W3CDTF">2025-04-08T01:27:00Z</dcterms:created>
  <dcterms:modified xsi:type="dcterms:W3CDTF">2025-04-08T01:27:00Z</dcterms:modified>
</cp:coreProperties>
</file>