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B0FE2" w14:textId="77777777" w:rsidR="00DB4EC1" w:rsidRDefault="006927E7">
      <w:r>
        <w:t>Seat 8 Row 4</w:t>
      </w:r>
    </w:p>
    <w:p w14:paraId="7BBBECDB" w14:textId="3DB5458F" w:rsidR="00AF7DA1" w:rsidRDefault="00DB4EC1">
      <w:r>
        <w:tab/>
      </w:r>
      <w:r>
        <w:tab/>
      </w:r>
      <w:r>
        <w:tab/>
      </w:r>
      <w:r>
        <w:tab/>
      </w:r>
      <w:r>
        <w:tab/>
        <w:t>South Dakota v. Wayfair</w:t>
      </w:r>
      <w:r w:rsidR="006927E7">
        <w:br/>
      </w:r>
    </w:p>
    <w:p w14:paraId="5BF54334" w14:textId="24D0F070" w:rsidR="006E02D6" w:rsidRDefault="000B055F">
      <w:r w:rsidRPr="00AE750D">
        <w:rPr>
          <w:b/>
        </w:rPr>
        <w:t>Facts</w:t>
      </w:r>
      <w:r w:rsidR="00A21A25">
        <w:t xml:space="preserve">: </w:t>
      </w:r>
      <w:r w:rsidR="00FE5D3C">
        <w:t xml:space="preserve">In </w:t>
      </w:r>
      <w:r w:rsidR="00F558FF">
        <w:t>1992, in</w:t>
      </w:r>
      <w:r w:rsidR="00442C65">
        <w:t xml:space="preserve"> </w:t>
      </w:r>
      <w:r w:rsidR="00442C65">
        <w:rPr>
          <w:i/>
        </w:rPr>
        <w:t>Quill Corp v. North Dakota,</w:t>
      </w:r>
      <w:r w:rsidR="00FE5D3C">
        <w:t xml:space="preserve"> the Supreme Court passed judgement determining that states cannot collect sales taxes from </w:t>
      </w:r>
      <w:r w:rsidR="002B33D1">
        <w:t>out of state vendors that do not have a physical presence in that state</w:t>
      </w:r>
      <w:r w:rsidR="00DA53F9">
        <w:t xml:space="preserve">. </w:t>
      </w:r>
      <w:r w:rsidR="00117F25">
        <w:t xml:space="preserve">In </w:t>
      </w:r>
      <w:r w:rsidR="008D2259">
        <w:t>2016, South Dakota passed legislation requiring out of state retailers to collect sales taxes for the state.</w:t>
      </w:r>
      <w:r w:rsidR="00325320">
        <w:t xml:space="preserve"> </w:t>
      </w:r>
      <w:r w:rsidR="00442C65">
        <w:t xml:space="preserve">The act, designed to challenge </w:t>
      </w:r>
      <w:r w:rsidR="00442C65">
        <w:rPr>
          <w:i/>
        </w:rPr>
        <w:t>Quill,</w:t>
      </w:r>
      <w:r w:rsidR="00442C65">
        <w:t xml:space="preserve"> allowed South Dakota to seek declaratory judgement to enforce </w:t>
      </w:r>
      <w:r w:rsidR="003A41F5">
        <w:t xml:space="preserve">the legislation – which the State subsequently did against </w:t>
      </w:r>
      <w:r w:rsidR="00CB7FF7">
        <w:t>Wayfair, Inc., Overstock.com, Inc., Newegg, Inc</w:t>
      </w:r>
      <w:r w:rsidR="00E27A83">
        <w:t xml:space="preserve"> (</w:t>
      </w:r>
      <w:r w:rsidR="00E27A83">
        <w:rPr>
          <w:i/>
        </w:rPr>
        <w:t>Wayfair)</w:t>
      </w:r>
      <w:r w:rsidR="00CB7FF7">
        <w:t>.</w:t>
      </w:r>
      <w:r w:rsidR="006E02D6">
        <w:t xml:space="preserve"> </w:t>
      </w:r>
    </w:p>
    <w:p w14:paraId="52AE3C0C" w14:textId="210A8863" w:rsidR="00A21A25" w:rsidRDefault="00F558FF">
      <w:r w:rsidRPr="00AE750D">
        <w:rPr>
          <w:b/>
        </w:rPr>
        <w:t>Procedural History</w:t>
      </w:r>
      <w:r>
        <w:t xml:space="preserve">: </w:t>
      </w:r>
      <w:r w:rsidR="005E66B2">
        <w:t xml:space="preserve">When </w:t>
      </w:r>
      <w:r w:rsidR="0062216D">
        <w:t xml:space="preserve">Wayfair </w:t>
      </w:r>
      <w:r w:rsidR="00DB4EC1">
        <w:t>refused to comply citing</w:t>
      </w:r>
      <w:r w:rsidR="00E27A83">
        <w:t xml:space="preserve"> the Supreme Court’s decision in</w:t>
      </w:r>
      <w:r w:rsidR="00DB4EC1">
        <w:t xml:space="preserve"> </w:t>
      </w:r>
      <w:r w:rsidR="00DB4EC1">
        <w:rPr>
          <w:i/>
        </w:rPr>
        <w:t>Quill</w:t>
      </w:r>
      <w:r w:rsidR="005E66B2">
        <w:rPr>
          <w:i/>
        </w:rPr>
        <w:t>,</w:t>
      </w:r>
      <w:r w:rsidR="00F37CD4">
        <w:t xml:space="preserve"> </w:t>
      </w:r>
      <w:r w:rsidR="00DB4EC1">
        <w:t xml:space="preserve">South </w:t>
      </w:r>
      <w:r>
        <w:t>Dakota took</w:t>
      </w:r>
      <w:r w:rsidR="005E66B2">
        <w:t xml:space="preserve"> them to trial court</w:t>
      </w:r>
      <w:r w:rsidR="003432DA">
        <w:t xml:space="preserve"> and the State’s Supreme Court, both of which ruled consistently in favor of </w:t>
      </w:r>
      <w:r w:rsidR="001D5EBA">
        <w:t>Wayfair</w:t>
      </w:r>
      <w:r w:rsidR="00E27A83">
        <w:t xml:space="preserve">, </w:t>
      </w:r>
      <w:r w:rsidR="00D62762">
        <w:t xml:space="preserve">following the Supreme Court’s decision in </w:t>
      </w:r>
      <w:r w:rsidR="00D62762">
        <w:rPr>
          <w:i/>
        </w:rPr>
        <w:t>Quill</w:t>
      </w:r>
      <w:r w:rsidR="001D5EBA">
        <w:t xml:space="preserve">. </w:t>
      </w:r>
      <w:r w:rsidR="008E6A22">
        <w:t>The state then filed a petition for a writ of certiorari</w:t>
      </w:r>
      <w:r w:rsidR="00F85CD9">
        <w:t xml:space="preserve">, citing </w:t>
      </w:r>
      <w:r w:rsidR="001E715E">
        <w:t xml:space="preserve">harm to commerce and </w:t>
      </w:r>
      <w:r w:rsidR="00DE6E73">
        <w:t xml:space="preserve">the technological advancements that have since occurred from Quill’s decision. </w:t>
      </w:r>
      <w:r w:rsidR="00CF19DB">
        <w:t>The Court granted the petition.</w:t>
      </w:r>
    </w:p>
    <w:p w14:paraId="0EC98D8B" w14:textId="4A931EE8" w:rsidR="00C54FEE" w:rsidRDefault="00B7695C">
      <w:r w:rsidRPr="00AE750D">
        <w:rPr>
          <w:b/>
        </w:rPr>
        <w:t>Issues</w:t>
      </w:r>
      <w:r>
        <w:t xml:space="preserve">: Should the Supreme Court’s holding in </w:t>
      </w:r>
      <w:r>
        <w:rPr>
          <w:i/>
        </w:rPr>
        <w:t>Quill</w:t>
      </w:r>
      <w:r>
        <w:t xml:space="preserve"> </w:t>
      </w:r>
      <w:r w:rsidR="009F3CA0">
        <w:t>be overturned, allowing states to collect sales taxes on sellers with no physical presence in the state?</w:t>
      </w:r>
      <w:r w:rsidR="00DA7F39">
        <w:t xml:space="preserve"> </w:t>
      </w:r>
    </w:p>
    <w:p w14:paraId="010C6C50" w14:textId="52299604" w:rsidR="00055D93" w:rsidRPr="00055D93" w:rsidRDefault="004939EE">
      <w:r w:rsidRPr="00AE750D">
        <w:rPr>
          <w:b/>
        </w:rPr>
        <w:t>Holding</w:t>
      </w:r>
      <w:r>
        <w:t xml:space="preserve">: </w:t>
      </w:r>
      <w:r w:rsidR="00FA4EFE">
        <w:t xml:space="preserve">Yes. </w:t>
      </w:r>
      <w:r w:rsidR="00825D2B">
        <w:t xml:space="preserve">The majority opinion, written by Kennedy and supported by Thomas, Alito, Ginsburg and </w:t>
      </w:r>
      <w:proofErr w:type="spellStart"/>
      <w:r w:rsidR="00825D2B">
        <w:t>Gosruch</w:t>
      </w:r>
      <w:proofErr w:type="spellEnd"/>
      <w:r w:rsidR="00825D2B">
        <w:t xml:space="preserve"> declared the physical presence rule of Quill as unsound and incorrect.</w:t>
      </w:r>
      <w:r w:rsidR="001A2D80">
        <w:t xml:space="preserve"> </w:t>
      </w:r>
    </w:p>
    <w:p w14:paraId="10616109" w14:textId="7ECC308D" w:rsidR="001913F4" w:rsidRDefault="001913F4">
      <w:r w:rsidRPr="00AE750D">
        <w:rPr>
          <w:b/>
        </w:rPr>
        <w:t>Judgemen</w:t>
      </w:r>
      <w:r>
        <w:t xml:space="preserve">t: </w:t>
      </w:r>
      <w:r w:rsidR="00FC10CA">
        <w:t xml:space="preserve">The court vacated </w:t>
      </w:r>
      <w:r w:rsidR="00876024">
        <w:t>and remanded</w:t>
      </w:r>
      <w:r w:rsidR="001A2D80">
        <w:t xml:space="preserve"> the South Dakota Supreme Court’s ruling</w:t>
      </w:r>
    </w:p>
    <w:p w14:paraId="000A8D07" w14:textId="77777777" w:rsidR="00D44E94" w:rsidRDefault="005201F4">
      <w:r w:rsidRPr="00AE750D">
        <w:rPr>
          <w:b/>
        </w:rPr>
        <w:t>Reasoning</w:t>
      </w:r>
      <w:r>
        <w:t xml:space="preserve">: </w:t>
      </w:r>
      <w:r w:rsidR="00473B61">
        <w:t xml:space="preserve">The majority opinion reasoned that the internet’s reach has changed the economy in the time since </w:t>
      </w:r>
      <w:r w:rsidR="00473B61">
        <w:rPr>
          <w:i/>
        </w:rPr>
        <w:t>Quill</w:t>
      </w:r>
      <w:r w:rsidR="00473B61">
        <w:t xml:space="preserve"> was decided</w:t>
      </w:r>
      <w:r w:rsidR="00BF1CAD">
        <w:t xml:space="preserve">. </w:t>
      </w:r>
      <w:r w:rsidR="00897C93">
        <w:t xml:space="preserve">Justice Kennedy, in his decision, wrote that </w:t>
      </w:r>
      <w:r w:rsidR="00E2291A">
        <w:t>the Court has also been left to preserve the “free flow of interstate commerce</w:t>
      </w:r>
      <w:r w:rsidR="006E3A41">
        <w:t>,</w:t>
      </w:r>
      <w:r w:rsidR="00E2291A">
        <w:t>”</w:t>
      </w:r>
      <w:r w:rsidR="006E3A41">
        <w:t xml:space="preserve"> and </w:t>
      </w:r>
      <w:r w:rsidR="00EB2BD4">
        <w:t xml:space="preserve">citied the Court’s holding in </w:t>
      </w:r>
      <w:r w:rsidR="00EB2BD4">
        <w:rPr>
          <w:i/>
        </w:rPr>
        <w:t>Compete Auto Transit, Inc v. Brady</w:t>
      </w:r>
      <w:r w:rsidR="00EB2BD4">
        <w:t xml:space="preserve">, </w:t>
      </w:r>
      <w:r w:rsidR="003A4835">
        <w:t>declaring that the Court will sustain a tax as long as it “applies to an activity with substantial nexus with the tax</w:t>
      </w:r>
      <w:r w:rsidR="002C6F23">
        <w:t>ing state, is fairly apportioned, does not discriminate against interstate commerce, and is related to services provided by a state</w:t>
      </w:r>
      <w:r w:rsidR="00C046BA">
        <w:t>.</w:t>
      </w:r>
      <w:r w:rsidR="002C6F23">
        <w:t>”</w:t>
      </w:r>
      <w:r w:rsidR="00C046BA">
        <w:t xml:space="preserve"> </w:t>
      </w:r>
    </w:p>
    <w:p w14:paraId="598A6484" w14:textId="3E9DD70F" w:rsidR="005201F4" w:rsidRDefault="00D44E94">
      <w:r>
        <w:tab/>
        <w:t xml:space="preserve">Kennedy claims that </w:t>
      </w:r>
      <w:r>
        <w:rPr>
          <w:i/>
        </w:rPr>
        <w:t>Quill</w:t>
      </w:r>
      <w:r>
        <w:t xml:space="preserve"> is flawed </w:t>
      </w:r>
      <w:r w:rsidR="002E5CB6">
        <w:t xml:space="preserve">on the basis </w:t>
      </w:r>
      <w:r w:rsidR="00566A06">
        <w:t>that it poses an arbitrary distinction that the Commerce Clause disavows.</w:t>
      </w:r>
      <w:r w:rsidR="00616BC2">
        <w:t xml:space="preserve"> Following an earlier case </w:t>
      </w:r>
      <w:r w:rsidR="00D17102">
        <w:t xml:space="preserve">– </w:t>
      </w:r>
      <w:r w:rsidR="00D17102">
        <w:rPr>
          <w:i/>
        </w:rPr>
        <w:t>Complete Auto</w:t>
      </w:r>
      <w:r w:rsidR="00D17102">
        <w:t xml:space="preserve"> </w:t>
      </w:r>
      <w:r w:rsidR="00D17102">
        <w:rPr>
          <w:i/>
        </w:rPr>
        <w:t xml:space="preserve">Transit </w:t>
      </w:r>
      <w:r w:rsidR="00D17102">
        <w:t xml:space="preserve">v. </w:t>
      </w:r>
      <w:r w:rsidR="00D17102">
        <w:rPr>
          <w:i/>
        </w:rPr>
        <w:t>Brady</w:t>
      </w:r>
      <w:r w:rsidR="00D17102">
        <w:t xml:space="preserve">, </w:t>
      </w:r>
      <w:proofErr w:type="gramStart"/>
      <w:r w:rsidR="00D17102">
        <w:t>The</w:t>
      </w:r>
      <w:proofErr w:type="gramEnd"/>
      <w:r w:rsidR="00D17102">
        <w:t xml:space="preserve"> </w:t>
      </w:r>
      <w:r w:rsidR="00AF6B8A">
        <w:t xml:space="preserve">court established that a state may tax interstate commerce as long as there is no </w:t>
      </w:r>
      <w:r w:rsidR="005E13D0">
        <w:t xml:space="preserve">effect forbidden by the Commerce Clause, and the tax applies to an activity with substantial nexus in the </w:t>
      </w:r>
      <w:r w:rsidR="001F768A">
        <w:t xml:space="preserve">Taxing state. The tax must also be non-discriminate against interstate commerce, </w:t>
      </w:r>
      <w:r w:rsidR="00F22F46">
        <w:t>apportioned</w:t>
      </w:r>
      <w:r w:rsidR="005F2CAC">
        <w:t xml:space="preserve">, and related to the Services the State provides. </w:t>
      </w:r>
      <w:r w:rsidR="00323789">
        <w:t>In this case, the nexus is clear</w:t>
      </w:r>
      <w:r w:rsidR="00F22F46">
        <w:t xml:space="preserve">, and the physical presence test as it was in </w:t>
      </w:r>
      <w:r w:rsidR="00F22F46">
        <w:rPr>
          <w:i/>
        </w:rPr>
        <w:t>Quill</w:t>
      </w:r>
      <w:r w:rsidR="00F22F46">
        <w:t xml:space="preserve"> is no longer an effective or correct allowance of the law</w:t>
      </w:r>
      <w:r w:rsidR="00E84332">
        <w:t xml:space="preserve"> in this new Cyber Age. </w:t>
      </w:r>
    </w:p>
    <w:p w14:paraId="48501F29" w14:textId="0D38196F" w:rsidR="00E84332" w:rsidRDefault="00E84332">
      <w:r>
        <w:tab/>
      </w:r>
      <w:r w:rsidRPr="00AE750D">
        <w:rPr>
          <w:b/>
        </w:rPr>
        <w:t>Concurrence</w:t>
      </w:r>
      <w:r>
        <w:t>: Go</w:t>
      </w:r>
      <w:r w:rsidR="00604521">
        <w:t>rsuch</w:t>
      </w:r>
    </w:p>
    <w:p w14:paraId="3C346B53" w14:textId="7E78695A" w:rsidR="00604521" w:rsidRDefault="00604521">
      <w:r>
        <w:tab/>
        <w:t xml:space="preserve">Gorsuch claims that judges have not the authority to construct a “tax shelter,” as </w:t>
      </w:r>
      <w:r w:rsidR="00D36B72">
        <w:t xml:space="preserve">put forward in </w:t>
      </w:r>
      <w:r w:rsidR="00D36B72">
        <w:rPr>
          <w:i/>
        </w:rPr>
        <w:t>Quill</w:t>
      </w:r>
      <w:r w:rsidR="008D31A6">
        <w:t xml:space="preserve">, </w:t>
      </w:r>
      <w:r w:rsidR="005A06C8">
        <w:t xml:space="preserve">and was “pleased” to help “correct the mistake [Quill]” </w:t>
      </w:r>
    </w:p>
    <w:p w14:paraId="08FE5A27" w14:textId="77777777" w:rsidR="00181EB3" w:rsidRDefault="005A06C8">
      <w:r>
        <w:tab/>
      </w:r>
    </w:p>
    <w:p w14:paraId="2D5D88EC" w14:textId="64C8DE20" w:rsidR="005A06C8" w:rsidRPr="00D36B72" w:rsidRDefault="00181EB3">
      <w:r w:rsidRPr="00AE750D">
        <w:rPr>
          <w:b/>
        </w:rPr>
        <w:lastRenderedPageBreak/>
        <w:t>Concurrence</w:t>
      </w:r>
      <w:r>
        <w:t>: Thomas</w:t>
      </w:r>
    </w:p>
    <w:p w14:paraId="0DF81DD4" w14:textId="11EA7387" w:rsidR="009F3CA0" w:rsidRDefault="00AD1734">
      <w:r>
        <w:t xml:space="preserve">Stated that the rulings from </w:t>
      </w:r>
      <w:proofErr w:type="spellStart"/>
      <w:r>
        <w:rPr>
          <w:i/>
        </w:rPr>
        <w:t>Bellas</w:t>
      </w:r>
      <w:proofErr w:type="spellEnd"/>
      <w:r>
        <w:rPr>
          <w:i/>
        </w:rPr>
        <w:t xml:space="preserve"> Hess </w:t>
      </w:r>
      <w:r>
        <w:t xml:space="preserve">and </w:t>
      </w:r>
      <w:r>
        <w:rPr>
          <w:i/>
        </w:rPr>
        <w:t>Quill</w:t>
      </w:r>
      <w:r>
        <w:t xml:space="preserve"> can “no longer be rationally justified</w:t>
      </w:r>
      <w:r w:rsidR="008B70ED">
        <w:t xml:space="preserve">,” and went against his own decision </w:t>
      </w:r>
      <w:r w:rsidR="000F1497">
        <w:t xml:space="preserve">from </w:t>
      </w:r>
      <w:r w:rsidR="000F1497">
        <w:rPr>
          <w:i/>
        </w:rPr>
        <w:t>Quill</w:t>
      </w:r>
      <w:r w:rsidR="000F1497">
        <w:t xml:space="preserve"> and joined the Court’s</w:t>
      </w:r>
    </w:p>
    <w:p w14:paraId="72096801" w14:textId="7AD5A09B" w:rsidR="00490ED5" w:rsidRDefault="000F1497">
      <w:r w:rsidRPr="00AE750D">
        <w:rPr>
          <w:b/>
        </w:rPr>
        <w:t>Dissent</w:t>
      </w:r>
      <w:r w:rsidR="00490ED5">
        <w:t>: Filed by Roberts and joined by Breyer Sotomayor and Kagan</w:t>
      </w:r>
    </w:p>
    <w:p w14:paraId="4B143204" w14:textId="4243CB88" w:rsidR="00B730C0" w:rsidRDefault="00490ED5">
      <w:r>
        <w:tab/>
        <w:t xml:space="preserve">Though the </w:t>
      </w:r>
      <w:r w:rsidR="00754DAC">
        <w:t xml:space="preserve">internet may have changed the economy, it has not so much as to do away with the physical presence rule, but perhaps to strengthen it, and any </w:t>
      </w:r>
      <w:r w:rsidR="00620FE7">
        <w:t>rule changes should be made by Congress</w:t>
      </w:r>
      <w:r w:rsidR="00423EF0">
        <w:t xml:space="preserve">, as Congress has </w:t>
      </w:r>
      <w:r w:rsidR="008D3DCB">
        <w:t xml:space="preserve">more flexibility to address these issues – citing </w:t>
      </w:r>
      <w:r w:rsidR="008D3DCB">
        <w:rPr>
          <w:i/>
        </w:rPr>
        <w:t>General Motors Corp v. Tracy</w:t>
      </w:r>
      <w:r w:rsidR="007A6550">
        <w:rPr>
          <w:i/>
        </w:rPr>
        <w:t>, “</w:t>
      </w:r>
      <w:r w:rsidR="007A6550">
        <w:t>Congress has the ability to address and analyze facts beyond anything the Judiciary could match.”</w:t>
      </w:r>
      <w:r w:rsidR="0020310B">
        <w:t xml:space="preserve"> </w:t>
      </w:r>
    </w:p>
    <w:p w14:paraId="3DE3E604" w14:textId="1E804F32" w:rsidR="00AE286B" w:rsidRDefault="00AE286B">
      <w:r>
        <w:tab/>
        <w:t xml:space="preserve">Additionally, Roberts believed that stare decisis </w:t>
      </w:r>
      <w:r w:rsidR="00FF6E41">
        <w:t>–</w:t>
      </w:r>
      <w:r>
        <w:t xml:space="preserve"> </w:t>
      </w:r>
      <w:r w:rsidR="00FF6E41">
        <w:t>precedent – is being set aside too easily in this case.</w:t>
      </w:r>
    </w:p>
    <w:p w14:paraId="52B34D2A" w14:textId="1D0C7862" w:rsidR="00B730C0" w:rsidRDefault="00B730C0">
      <w:r w:rsidRPr="00AE750D">
        <w:rPr>
          <w:b/>
        </w:rPr>
        <w:t>Precedent</w:t>
      </w:r>
      <w:r w:rsidR="00AE750D">
        <w:t>:</w:t>
      </w:r>
    </w:p>
    <w:p w14:paraId="11225E9D" w14:textId="46FE9319" w:rsidR="00FF6E41" w:rsidRDefault="00507F67">
      <w:r>
        <w:rPr>
          <w:i/>
        </w:rPr>
        <w:t xml:space="preserve">National </w:t>
      </w:r>
      <w:proofErr w:type="spellStart"/>
      <w:r>
        <w:rPr>
          <w:i/>
        </w:rPr>
        <w:t>Bellas</w:t>
      </w:r>
      <w:proofErr w:type="spellEnd"/>
      <w:r>
        <w:rPr>
          <w:i/>
        </w:rPr>
        <w:t xml:space="preserve"> Hess, Inc. v. Department of Revenue of Ill.</w:t>
      </w:r>
      <w:r>
        <w:rPr>
          <w:i/>
        </w:rPr>
        <w:br/>
        <w:t>Quill</w:t>
      </w:r>
      <w:r w:rsidR="00122DCE">
        <w:rPr>
          <w:i/>
        </w:rPr>
        <w:t xml:space="preserve"> C</w:t>
      </w:r>
      <w:r>
        <w:rPr>
          <w:i/>
        </w:rPr>
        <w:t>orp</w:t>
      </w:r>
      <w:r w:rsidR="00122DCE">
        <w:rPr>
          <w:i/>
        </w:rPr>
        <w:t>.</w:t>
      </w:r>
      <w:r>
        <w:rPr>
          <w:i/>
        </w:rPr>
        <w:t xml:space="preserve"> v. North Dakota</w:t>
      </w:r>
      <w:r w:rsidR="007A6550">
        <w:t xml:space="preserve"> </w:t>
      </w:r>
      <w:r w:rsidR="00122DCE">
        <w:br/>
      </w:r>
      <w:r w:rsidR="00F2221B">
        <w:rPr>
          <w:i/>
        </w:rPr>
        <w:t>Compete Auto Transit, Inc v. Brady</w:t>
      </w:r>
    </w:p>
    <w:p w14:paraId="083435CB" w14:textId="25B0FB68" w:rsidR="0009408B" w:rsidRDefault="001439C1" w:rsidP="001439C1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Source of Law: </w:t>
      </w:r>
    </w:p>
    <w:p w14:paraId="11A987D8" w14:textId="15029066" w:rsidR="00D25C5B" w:rsidRDefault="00D25C5B" w:rsidP="001439C1">
      <w:pPr>
        <w:rPr>
          <w:rFonts w:cs="Times New Roman"/>
          <w:szCs w:val="28"/>
        </w:rPr>
      </w:pPr>
      <w:r>
        <w:rPr>
          <w:rFonts w:cs="Times New Roman"/>
          <w:szCs w:val="28"/>
        </w:rPr>
        <w:t>Commerce Clause in Article I of the Constitution</w:t>
      </w:r>
    </w:p>
    <w:p w14:paraId="1E6A4DF5" w14:textId="344AE961" w:rsidR="00D25C5B" w:rsidRDefault="00D25C5B" w:rsidP="001439C1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Application to Van </w:t>
      </w:r>
      <w:proofErr w:type="spellStart"/>
      <w:r>
        <w:rPr>
          <w:rFonts w:cs="Times New Roman"/>
          <w:b/>
          <w:szCs w:val="28"/>
        </w:rPr>
        <w:t>Geel</w:t>
      </w:r>
      <w:proofErr w:type="spellEnd"/>
      <w:r>
        <w:rPr>
          <w:rFonts w:cs="Times New Roman"/>
          <w:b/>
          <w:szCs w:val="28"/>
        </w:rPr>
        <w:t xml:space="preserve"> Chart</w:t>
      </w:r>
      <w:r>
        <w:rPr>
          <w:rFonts w:cs="Times New Roman"/>
          <w:szCs w:val="28"/>
        </w:rPr>
        <w:t>:</w:t>
      </w:r>
    </w:p>
    <w:p w14:paraId="38E80229" w14:textId="63F632C0" w:rsidR="00D25C5B" w:rsidRPr="00B106C3" w:rsidRDefault="00F351DF" w:rsidP="001439C1">
      <w:pPr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 xml:space="preserve">This case strikes down the precedent as it was in </w:t>
      </w:r>
      <w:r>
        <w:rPr>
          <w:rFonts w:cs="Times New Roman"/>
          <w:i/>
          <w:szCs w:val="28"/>
        </w:rPr>
        <w:t>Quill</w:t>
      </w:r>
      <w:r w:rsidR="00B106C3">
        <w:rPr>
          <w:rFonts w:cs="Times New Roman"/>
          <w:szCs w:val="28"/>
        </w:rPr>
        <w:t xml:space="preserve">, and would be in </w:t>
      </w:r>
      <w:r w:rsidR="00662993">
        <w:rPr>
          <w:rFonts w:cs="Times New Roman"/>
          <w:szCs w:val="28"/>
        </w:rPr>
        <w:t>quadrant A</w:t>
      </w:r>
      <w:r w:rsidR="00944B82">
        <w:rPr>
          <w:rFonts w:cs="Times New Roman"/>
          <w:szCs w:val="28"/>
        </w:rPr>
        <w:t xml:space="preserve">. </w:t>
      </w:r>
    </w:p>
    <w:p w14:paraId="11C90C6A" w14:textId="2EBC8C99" w:rsidR="00AE750D" w:rsidRDefault="00AE750D"/>
    <w:p w14:paraId="63D39091" w14:textId="524B114C" w:rsidR="00F66DA9" w:rsidRDefault="00F66DA9">
      <w:bookmarkStart w:id="0" w:name="_GoBack"/>
      <w:bookmarkEnd w:id="0"/>
    </w:p>
    <w:p w14:paraId="4947EADC" w14:textId="77777777" w:rsidR="00F66DA9" w:rsidRPr="007A6550" w:rsidRDefault="00F66DA9"/>
    <w:sectPr w:rsidR="00F66DA9" w:rsidRPr="007A6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29"/>
    <w:rsid w:val="00055D93"/>
    <w:rsid w:val="0009408B"/>
    <w:rsid w:val="000B055F"/>
    <w:rsid w:val="000F1497"/>
    <w:rsid w:val="001157FB"/>
    <w:rsid w:val="00117F25"/>
    <w:rsid w:val="00122DCE"/>
    <w:rsid w:val="001439C1"/>
    <w:rsid w:val="00181EB3"/>
    <w:rsid w:val="001913F4"/>
    <w:rsid w:val="001A2D80"/>
    <w:rsid w:val="001A5D9C"/>
    <w:rsid w:val="001D5EBA"/>
    <w:rsid w:val="001E715E"/>
    <w:rsid w:val="001F768A"/>
    <w:rsid w:val="0020310B"/>
    <w:rsid w:val="002B33D1"/>
    <w:rsid w:val="002C6F23"/>
    <w:rsid w:val="002E5CB6"/>
    <w:rsid w:val="002F625D"/>
    <w:rsid w:val="00323789"/>
    <w:rsid w:val="00325320"/>
    <w:rsid w:val="003432DA"/>
    <w:rsid w:val="00346399"/>
    <w:rsid w:val="003A41F5"/>
    <w:rsid w:val="003A4835"/>
    <w:rsid w:val="003B46BA"/>
    <w:rsid w:val="00423EF0"/>
    <w:rsid w:val="00442C65"/>
    <w:rsid w:val="00473B61"/>
    <w:rsid w:val="00490ED5"/>
    <w:rsid w:val="004939EE"/>
    <w:rsid w:val="00507F67"/>
    <w:rsid w:val="005201F4"/>
    <w:rsid w:val="00566A06"/>
    <w:rsid w:val="005A06C8"/>
    <w:rsid w:val="005E13D0"/>
    <w:rsid w:val="005E66B2"/>
    <w:rsid w:val="005F2CAC"/>
    <w:rsid w:val="00604521"/>
    <w:rsid w:val="00616BC2"/>
    <w:rsid w:val="00620FE7"/>
    <w:rsid w:val="0062216D"/>
    <w:rsid w:val="00662993"/>
    <w:rsid w:val="006927E7"/>
    <w:rsid w:val="006E02D6"/>
    <w:rsid w:val="006E3A41"/>
    <w:rsid w:val="00754DAC"/>
    <w:rsid w:val="0075594E"/>
    <w:rsid w:val="007901F7"/>
    <w:rsid w:val="007A6550"/>
    <w:rsid w:val="007E1529"/>
    <w:rsid w:val="007E37BA"/>
    <w:rsid w:val="00825D2B"/>
    <w:rsid w:val="00876024"/>
    <w:rsid w:val="00897C93"/>
    <w:rsid w:val="008A7452"/>
    <w:rsid w:val="008B70ED"/>
    <w:rsid w:val="008D2259"/>
    <w:rsid w:val="008D31A6"/>
    <w:rsid w:val="008D3DCB"/>
    <w:rsid w:val="008E6A22"/>
    <w:rsid w:val="00944B82"/>
    <w:rsid w:val="009F3CA0"/>
    <w:rsid w:val="00A21A25"/>
    <w:rsid w:val="00AD1734"/>
    <w:rsid w:val="00AD20F1"/>
    <w:rsid w:val="00AE286B"/>
    <w:rsid w:val="00AE750D"/>
    <w:rsid w:val="00AF1C65"/>
    <w:rsid w:val="00AF6B8A"/>
    <w:rsid w:val="00AF7DA1"/>
    <w:rsid w:val="00B106C3"/>
    <w:rsid w:val="00B730C0"/>
    <w:rsid w:val="00B7695C"/>
    <w:rsid w:val="00BF1CAD"/>
    <w:rsid w:val="00C046BA"/>
    <w:rsid w:val="00C54FEE"/>
    <w:rsid w:val="00C7194B"/>
    <w:rsid w:val="00CA61FB"/>
    <w:rsid w:val="00CB7FF7"/>
    <w:rsid w:val="00CF19DB"/>
    <w:rsid w:val="00D17102"/>
    <w:rsid w:val="00D25C5B"/>
    <w:rsid w:val="00D36B72"/>
    <w:rsid w:val="00D44E94"/>
    <w:rsid w:val="00D62762"/>
    <w:rsid w:val="00DA53F9"/>
    <w:rsid w:val="00DA7F39"/>
    <w:rsid w:val="00DB4EC1"/>
    <w:rsid w:val="00DD2762"/>
    <w:rsid w:val="00DE6E73"/>
    <w:rsid w:val="00DF1089"/>
    <w:rsid w:val="00E2291A"/>
    <w:rsid w:val="00E27A83"/>
    <w:rsid w:val="00E84332"/>
    <w:rsid w:val="00EB2BD4"/>
    <w:rsid w:val="00F023C8"/>
    <w:rsid w:val="00F2221B"/>
    <w:rsid w:val="00F22F46"/>
    <w:rsid w:val="00F351DF"/>
    <w:rsid w:val="00F37CD4"/>
    <w:rsid w:val="00F558FF"/>
    <w:rsid w:val="00F66DA9"/>
    <w:rsid w:val="00F85CD9"/>
    <w:rsid w:val="00FA4EFE"/>
    <w:rsid w:val="00FC10CA"/>
    <w:rsid w:val="00FD19BC"/>
    <w:rsid w:val="00FE5D3C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1F43"/>
  <w15:chartTrackingRefBased/>
  <w15:docId w15:val="{1F89353F-EF71-44CE-AFEB-B6792EB5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08B"/>
    <w:pPr>
      <w:spacing w:after="200" w:line="276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Krishant Dania</dc:creator>
  <cp:keywords/>
  <dc:description/>
  <cp:lastModifiedBy>Alan Sager</cp:lastModifiedBy>
  <cp:revision>2</cp:revision>
  <dcterms:created xsi:type="dcterms:W3CDTF">2019-05-03T23:50:00Z</dcterms:created>
  <dcterms:modified xsi:type="dcterms:W3CDTF">2019-05-03T23:50:00Z</dcterms:modified>
</cp:coreProperties>
</file>